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0D" w:rsidRPr="00F52F15" w:rsidRDefault="00F52F15" w:rsidP="00F52F15">
      <w:pPr>
        <w:jc w:val="center"/>
        <w:rPr>
          <w:rFonts w:ascii="Arial" w:hAnsi="Arial" w:cs="Arial"/>
          <w:b/>
          <w:sz w:val="24"/>
          <w:szCs w:val="24"/>
        </w:rPr>
      </w:pPr>
      <w:r w:rsidRPr="002A5BB6">
        <w:rPr>
          <w:rFonts w:ascii="Arial" w:hAnsi="Arial" w:cs="Arial"/>
          <w:b/>
          <w:sz w:val="24"/>
          <w:szCs w:val="24"/>
        </w:rPr>
        <w:t>RESPUESTA A CONSULTA SOBRE LA APLICACIÓN DE LA LEY 3/2020</w:t>
      </w:r>
    </w:p>
    <w:tbl>
      <w:tblPr>
        <w:tblStyle w:val="Tablaconcuadrcula"/>
        <w:tblW w:w="2832" w:type="dxa"/>
        <w:tblInd w:w="5668" w:type="dxa"/>
        <w:tblLook w:val="04A0" w:firstRow="1" w:lastRow="0" w:firstColumn="1" w:lastColumn="0" w:noHBand="0" w:noVBand="1"/>
      </w:tblPr>
      <w:tblGrid>
        <w:gridCol w:w="2832"/>
      </w:tblGrid>
      <w:tr w:rsidR="0044520D" w:rsidTr="0044520D">
        <w:tc>
          <w:tcPr>
            <w:tcW w:w="2832" w:type="dxa"/>
          </w:tcPr>
          <w:p w:rsidR="0044520D" w:rsidRDefault="00134543" w:rsidP="00182402">
            <w:r>
              <w:t>ROA_2022_033</w:t>
            </w:r>
            <w:r w:rsidR="0044520D">
              <w:t xml:space="preserve">      </w:t>
            </w:r>
          </w:p>
          <w:p w:rsidR="0044520D" w:rsidRDefault="0044520D" w:rsidP="00182402">
            <w:r>
              <w:t>Zona:</w:t>
            </w:r>
            <w:r w:rsidR="00134543">
              <w:t xml:space="preserve"> 1 y 2</w:t>
            </w:r>
          </w:p>
          <w:p w:rsidR="0044520D" w:rsidRDefault="0044520D" w:rsidP="00182402">
            <w:r>
              <w:t>Grupo:</w:t>
            </w:r>
            <w:r w:rsidR="00134543">
              <w:t xml:space="preserve"> LIMIT_ORGANIC</w:t>
            </w:r>
          </w:p>
        </w:tc>
      </w:tr>
    </w:tbl>
    <w:p w:rsidR="0044520D" w:rsidRDefault="0044520D" w:rsidP="00182402"/>
    <w:p w:rsidR="0044520D" w:rsidRDefault="0044520D" w:rsidP="0018240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20D" w:rsidTr="007D6AA5">
        <w:tc>
          <w:tcPr>
            <w:tcW w:w="8494" w:type="dxa"/>
          </w:tcPr>
          <w:p w:rsidR="00134543" w:rsidRPr="00134543" w:rsidRDefault="0044520D" w:rsidP="0013454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E11974">
              <w:rPr>
                <w:rFonts w:ascii="Arial" w:hAnsi="Arial" w:cs="Arial"/>
                <w:b/>
                <w:sz w:val="24"/>
                <w:szCs w:val="24"/>
              </w:rPr>
              <w:t>Consulta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34543" w:rsidRPr="00134543" w:rsidRDefault="00134543" w:rsidP="001345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4543">
              <w:rPr>
                <w:rFonts w:ascii="Arial" w:hAnsi="Arial" w:cs="Arial"/>
              </w:rPr>
              <w:t xml:space="preserve">Buenos días, </w:t>
            </w:r>
          </w:p>
          <w:p w:rsidR="00134543" w:rsidRPr="00134543" w:rsidRDefault="00134543" w:rsidP="001345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4543">
              <w:rPr>
                <w:rFonts w:ascii="Arial" w:hAnsi="Arial" w:cs="Arial"/>
              </w:rPr>
              <w:t xml:space="preserve">Tengo una duda acerca del artículo 42.d. </w:t>
            </w:r>
          </w:p>
          <w:p w:rsidR="00134543" w:rsidRPr="00134543" w:rsidRDefault="00134543" w:rsidP="001345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4543">
              <w:rPr>
                <w:rFonts w:ascii="Arial" w:hAnsi="Arial" w:cs="Arial"/>
              </w:rPr>
              <w:t xml:space="preserve">Este artículo dice: </w:t>
            </w:r>
          </w:p>
          <w:p w:rsidR="00134543" w:rsidRDefault="00134543" w:rsidP="001345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4543">
              <w:rPr>
                <w:rFonts w:ascii="Arial" w:hAnsi="Arial" w:cs="Arial"/>
              </w:rPr>
              <w:t xml:space="preserve">d) Cuando el número de cultivos, en una misma unidad de cultivo, sea de uno al año (las especies para abonado en verde no computan como otro </w:t>
            </w:r>
            <w:r>
              <w:rPr>
                <w:rFonts w:ascii="Arial" w:hAnsi="Arial" w:cs="Arial"/>
              </w:rPr>
              <w:t xml:space="preserve"> </w:t>
            </w:r>
            <w:r w:rsidRPr="00134543">
              <w:rPr>
                <w:rFonts w:ascii="Arial" w:hAnsi="Arial" w:cs="Arial"/>
              </w:rPr>
              <w:t>culti</w:t>
            </w:r>
            <w:r>
              <w:rPr>
                <w:rFonts w:ascii="Arial" w:hAnsi="Arial" w:cs="Arial"/>
              </w:rPr>
              <w:t xml:space="preserve">vo), la </w:t>
            </w:r>
            <w:r w:rsidRPr="00134543">
              <w:rPr>
                <w:rFonts w:ascii="Arial" w:hAnsi="Arial" w:cs="Arial"/>
              </w:rPr>
              <w:t>periodicidad en la aplicación de estiércoles será co</w:t>
            </w:r>
            <w:r>
              <w:rPr>
                <w:rFonts w:ascii="Arial" w:hAnsi="Arial" w:cs="Arial"/>
              </w:rPr>
              <w:t xml:space="preserve">mo mínimo bienal, salvo que los </w:t>
            </w:r>
            <w:r w:rsidRPr="00134543">
              <w:rPr>
                <w:rFonts w:ascii="Arial" w:hAnsi="Arial" w:cs="Arial"/>
              </w:rPr>
              <w:t xml:space="preserve">niveles de fertilidad sean muy bajos (materia orgánica </w:t>
            </w:r>
            <w:r>
              <w:rPr>
                <w:rFonts w:ascii="Arial" w:hAnsi="Arial" w:cs="Arial"/>
              </w:rPr>
              <w:t xml:space="preserve"> </w:t>
            </w:r>
            <w:r w:rsidRPr="00134543">
              <w:rPr>
                <w:rFonts w:ascii="Arial" w:hAnsi="Arial" w:cs="Arial"/>
              </w:rPr>
              <w:t xml:space="preserve">&lt; 1%, NO3-inicio&lt;2 5mg/kg y P </w:t>
            </w:r>
            <w:proofErr w:type="spellStart"/>
            <w:r w:rsidRPr="00134543">
              <w:rPr>
                <w:rFonts w:ascii="Arial" w:hAnsi="Arial" w:cs="Arial"/>
              </w:rPr>
              <w:t>Olsen</w:t>
            </w:r>
            <w:proofErr w:type="spellEnd"/>
            <w:r w:rsidRPr="00134543">
              <w:rPr>
                <w:rFonts w:ascii="Arial" w:hAnsi="Arial" w:cs="Arial"/>
              </w:rPr>
              <w:t xml:space="preserve"> &lt; 25 mg/kg) o las extracciones de nutrientes muy elevadas (superior a 17</w:t>
            </w:r>
            <w:r>
              <w:rPr>
                <w:rFonts w:ascii="Arial" w:hAnsi="Arial" w:cs="Arial"/>
              </w:rPr>
              <w:t xml:space="preserve">0 </w:t>
            </w:r>
            <w:r w:rsidRPr="00134543">
              <w:rPr>
                <w:rFonts w:ascii="Arial" w:hAnsi="Arial" w:cs="Arial"/>
              </w:rPr>
              <w:t xml:space="preserve">kg N/ha), pudiendo en tal caso </w:t>
            </w:r>
            <w:r>
              <w:rPr>
                <w:rFonts w:ascii="Arial" w:hAnsi="Arial" w:cs="Arial"/>
              </w:rPr>
              <w:t xml:space="preserve"> </w:t>
            </w:r>
            <w:r w:rsidRPr="00134543">
              <w:rPr>
                <w:rFonts w:ascii="Arial" w:hAnsi="Arial" w:cs="Arial"/>
              </w:rPr>
              <w:t>aplicarse con c</w:t>
            </w:r>
            <w:r>
              <w:rPr>
                <w:rFonts w:ascii="Arial" w:hAnsi="Arial" w:cs="Arial"/>
              </w:rPr>
              <w:t xml:space="preserve">arácter anual. Se exceptúan los </w:t>
            </w:r>
            <w:r w:rsidRPr="00134543">
              <w:rPr>
                <w:rFonts w:ascii="Arial" w:hAnsi="Arial" w:cs="Arial"/>
              </w:rPr>
              <w:t xml:space="preserve">cultivos en conversión y calificados oficialmente como ecológicos. </w:t>
            </w:r>
          </w:p>
          <w:p w:rsidR="00134543" w:rsidRPr="00134543" w:rsidRDefault="00134543" w:rsidP="001345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34543" w:rsidRPr="00134543" w:rsidRDefault="00134543" w:rsidP="001345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4543">
              <w:rPr>
                <w:rFonts w:ascii="Arial" w:hAnsi="Arial" w:cs="Arial"/>
              </w:rPr>
              <w:t>En el caso de un cultivo anual no ecológico y un s</w:t>
            </w:r>
            <w:r>
              <w:rPr>
                <w:rFonts w:ascii="Arial" w:hAnsi="Arial" w:cs="Arial"/>
              </w:rPr>
              <w:t xml:space="preserve">uelo con un nivel de fertilidad </w:t>
            </w:r>
            <w:r w:rsidRPr="00134543">
              <w:rPr>
                <w:rFonts w:ascii="Arial" w:hAnsi="Arial" w:cs="Arial"/>
              </w:rPr>
              <w:t>superior a los mínimos detallados en el artículo, ¿</w:t>
            </w:r>
            <w:r w:rsidRPr="00134543">
              <w:rPr>
                <w:rFonts w:ascii="Arial" w:hAnsi="Arial" w:cs="Arial"/>
                <w:u w:val="single"/>
              </w:rPr>
              <w:t>s</w:t>
            </w:r>
            <w:r w:rsidRPr="00066F57">
              <w:rPr>
                <w:rFonts w:ascii="Arial" w:hAnsi="Arial" w:cs="Arial"/>
                <w:u w:val="single"/>
              </w:rPr>
              <w:t>e podría alternar</w:t>
            </w:r>
            <w:r>
              <w:rPr>
                <w:rFonts w:ascii="Arial" w:hAnsi="Arial" w:cs="Arial"/>
              </w:rPr>
              <w:t xml:space="preserve"> </w:t>
            </w:r>
            <w:r w:rsidRPr="00066F57">
              <w:rPr>
                <w:rFonts w:ascii="Arial" w:hAnsi="Arial" w:cs="Arial"/>
                <w:u w:val="single"/>
              </w:rPr>
              <w:t xml:space="preserve">la aplicación </w:t>
            </w:r>
            <w:r w:rsidRPr="00134543">
              <w:rPr>
                <w:rFonts w:ascii="Arial" w:hAnsi="Arial" w:cs="Arial"/>
                <w:u w:val="single"/>
              </w:rPr>
              <w:t>bianual de es</w:t>
            </w:r>
            <w:r w:rsidRPr="00066F57">
              <w:rPr>
                <w:rFonts w:ascii="Arial" w:hAnsi="Arial" w:cs="Arial"/>
                <w:u w:val="single"/>
              </w:rPr>
              <w:t>tiércol con el uso de pellets</w:t>
            </w:r>
            <w:r>
              <w:rPr>
                <w:rFonts w:ascii="Arial" w:hAnsi="Arial" w:cs="Arial"/>
              </w:rPr>
              <w:t>? Es decir,</w:t>
            </w:r>
            <w:r w:rsidRPr="00134543">
              <w:rPr>
                <w:rFonts w:ascii="Arial" w:hAnsi="Arial" w:cs="Arial"/>
              </w:rPr>
              <w:t xml:space="preserve"> aplicar estiércol un año y pellets al siguiente. </w:t>
            </w:r>
          </w:p>
          <w:p w:rsidR="0044520D" w:rsidRPr="00134543" w:rsidRDefault="00134543" w:rsidP="00134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4543">
              <w:rPr>
                <w:rFonts w:ascii="Arial" w:hAnsi="Arial" w:cs="Arial"/>
              </w:rPr>
              <w:t>Muchas gracias.</w:t>
            </w:r>
          </w:p>
          <w:p w:rsidR="0044520D" w:rsidRDefault="0044520D" w:rsidP="007D6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20D" w:rsidRDefault="0044520D" w:rsidP="007D6A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20D" w:rsidTr="007D6AA5">
        <w:tc>
          <w:tcPr>
            <w:tcW w:w="8494" w:type="dxa"/>
          </w:tcPr>
          <w:p w:rsidR="0044520D" w:rsidRDefault="0044520D" w:rsidP="007D6AA5">
            <w:pPr>
              <w:rPr>
                <w:rFonts w:ascii="Arial" w:hAnsi="Arial" w:cs="Arial"/>
                <w:sz w:val="24"/>
                <w:szCs w:val="24"/>
              </w:rPr>
            </w:pPr>
            <w:r w:rsidRPr="00E11974">
              <w:rPr>
                <w:rFonts w:ascii="Arial" w:hAnsi="Arial" w:cs="Arial"/>
                <w:b/>
                <w:sz w:val="24"/>
                <w:szCs w:val="24"/>
              </w:rPr>
              <w:t>Referencias legislativas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4520D" w:rsidRDefault="0044520D" w:rsidP="007D6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20D" w:rsidRDefault="00134543" w:rsidP="007D6A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34543">
              <w:rPr>
                <w:rFonts w:ascii="Arial" w:hAnsi="Arial" w:cs="Arial"/>
                <w:sz w:val="24"/>
                <w:szCs w:val="24"/>
                <w:u w:val="single"/>
              </w:rPr>
              <w:t>Ley 3/2020, de recuperación y protección del Mar Menor</w:t>
            </w:r>
          </w:p>
          <w:p w:rsidR="00770967" w:rsidRPr="00134543" w:rsidRDefault="00770967" w:rsidP="007D6A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134543" w:rsidRDefault="00770967" w:rsidP="00770967">
            <w:pPr>
              <w:jc w:val="both"/>
              <w:rPr>
                <w:rFonts w:ascii="Arial" w:hAnsi="Arial" w:cs="Arial"/>
                <w:i/>
                <w:iCs/>
              </w:rPr>
            </w:pPr>
            <w:r w:rsidRPr="00770967">
              <w:rPr>
                <w:rFonts w:ascii="Arial" w:hAnsi="Arial" w:cs="Arial"/>
                <w:b/>
                <w:bCs/>
              </w:rPr>
              <w:t xml:space="preserve">Artículo 42. </w:t>
            </w:r>
            <w:r w:rsidRPr="00770967">
              <w:rPr>
                <w:rFonts w:ascii="Arial" w:hAnsi="Arial" w:cs="Arial"/>
                <w:i/>
                <w:iCs/>
              </w:rPr>
              <w:t>Limitación del uso de materiales orgánicos para fertilización</w:t>
            </w:r>
          </w:p>
          <w:p w:rsidR="00770967" w:rsidRPr="00770967" w:rsidRDefault="00770967" w:rsidP="00770967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770967" w:rsidRPr="00770967" w:rsidRDefault="00066F57" w:rsidP="007709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  <w:r w:rsidR="00770967" w:rsidRPr="00770967">
              <w:rPr>
                <w:rFonts w:ascii="Arial" w:hAnsi="Arial" w:cs="Arial"/>
              </w:rPr>
              <w:t>2. Se podrán aplicar al suelo como abonos y enmiendas orgánicas aquellos purines,</w:t>
            </w:r>
          </w:p>
          <w:p w:rsidR="00770967" w:rsidRPr="00770967" w:rsidRDefault="00770967" w:rsidP="007709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770967">
              <w:rPr>
                <w:rFonts w:ascii="Arial" w:hAnsi="Arial" w:cs="Arial"/>
              </w:rPr>
              <w:t xml:space="preserve">estiércoles y otros materiales </w:t>
            </w:r>
            <w:r w:rsidRPr="00770967">
              <w:rPr>
                <w:rFonts w:ascii="Arial" w:hAnsi="Arial" w:cs="Arial"/>
                <w:u w:val="single"/>
              </w:rPr>
              <w:t>que previamente hayan sido tratados en una instalación</w:t>
            </w:r>
          </w:p>
          <w:p w:rsidR="00770967" w:rsidRPr="00770967" w:rsidRDefault="00770967" w:rsidP="007709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0967">
              <w:rPr>
                <w:rFonts w:ascii="Arial" w:hAnsi="Arial" w:cs="Arial"/>
                <w:u w:val="single"/>
              </w:rPr>
              <w:t>autorizada de tratamiento de residuos</w:t>
            </w:r>
            <w:r w:rsidRPr="00770967">
              <w:rPr>
                <w:rFonts w:ascii="Arial" w:hAnsi="Arial" w:cs="Arial"/>
              </w:rPr>
              <w:t>, o de subproductos animales no destinados al</w:t>
            </w:r>
          </w:p>
          <w:p w:rsidR="00770967" w:rsidRPr="00770967" w:rsidRDefault="00770967" w:rsidP="007709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0967">
              <w:rPr>
                <w:rFonts w:ascii="Arial" w:hAnsi="Arial" w:cs="Arial"/>
              </w:rPr>
              <w:t>consumo humano (SANDACH), y que, como resultado de dic</w:t>
            </w:r>
            <w:r>
              <w:rPr>
                <w:rFonts w:ascii="Arial" w:hAnsi="Arial" w:cs="Arial"/>
              </w:rPr>
              <w:t xml:space="preserve">ho tratamiento, cumplan con los </w:t>
            </w:r>
            <w:r w:rsidRPr="00770967">
              <w:rPr>
                <w:rFonts w:ascii="Arial" w:hAnsi="Arial" w:cs="Arial"/>
              </w:rPr>
              <w:t xml:space="preserve">requisitos establecidos en la normativa aplicable para su uso </w:t>
            </w:r>
            <w:r>
              <w:rPr>
                <w:rFonts w:ascii="Arial" w:hAnsi="Arial" w:cs="Arial"/>
              </w:rPr>
              <w:t xml:space="preserve">agrícola o forestal, y </w:t>
            </w:r>
            <w:r w:rsidRPr="00770967">
              <w:rPr>
                <w:rFonts w:ascii="Arial" w:hAnsi="Arial" w:cs="Arial"/>
                <w:u w:val="single"/>
              </w:rPr>
              <w:t>se hayan transformado en abono o enmienda orgánica registrada en el Registro de Productos Fertilizantes</w:t>
            </w:r>
            <w:r w:rsidRPr="00770967">
              <w:rPr>
                <w:rFonts w:ascii="Arial" w:hAnsi="Arial" w:cs="Arial"/>
              </w:rPr>
              <w:t xml:space="preserve">, de conformidad con el Real Decreto </w:t>
            </w:r>
            <w:r>
              <w:rPr>
                <w:rFonts w:ascii="Arial" w:hAnsi="Arial" w:cs="Arial"/>
              </w:rPr>
              <w:t xml:space="preserve">506/2013, de 28 de junio, sobre </w:t>
            </w:r>
            <w:r w:rsidRPr="00770967">
              <w:rPr>
                <w:rFonts w:ascii="Arial" w:hAnsi="Arial" w:cs="Arial"/>
              </w:rPr>
              <w:t>fertilizantes, y el Reglamento (UE) 2019/1009, del Parlame</w:t>
            </w:r>
            <w:r>
              <w:rPr>
                <w:rFonts w:ascii="Arial" w:hAnsi="Arial" w:cs="Arial"/>
              </w:rPr>
              <w:t xml:space="preserve">nto Europeo y del Consejo, de 5 </w:t>
            </w:r>
            <w:r w:rsidRPr="00770967">
              <w:rPr>
                <w:rFonts w:ascii="Arial" w:hAnsi="Arial" w:cs="Arial"/>
              </w:rPr>
              <w:t>de junio de 2019, por el que se establecen disposiciones rela</w:t>
            </w:r>
            <w:r>
              <w:rPr>
                <w:rFonts w:ascii="Arial" w:hAnsi="Arial" w:cs="Arial"/>
              </w:rPr>
              <w:t xml:space="preserve">tivas a la puesta a disposición </w:t>
            </w:r>
            <w:r w:rsidRPr="00770967">
              <w:rPr>
                <w:rFonts w:ascii="Arial" w:hAnsi="Arial" w:cs="Arial"/>
              </w:rPr>
              <w:t>en el mercado de los productos fertilizantes UE.</w:t>
            </w:r>
          </w:p>
          <w:p w:rsidR="00770967" w:rsidRDefault="00770967" w:rsidP="007709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70967" w:rsidRDefault="00770967" w:rsidP="007709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70967" w:rsidRPr="00770967" w:rsidRDefault="00066F57" w:rsidP="007709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  <w:r w:rsidR="00770967" w:rsidRPr="00770967">
              <w:rPr>
                <w:rFonts w:ascii="Arial" w:hAnsi="Arial" w:cs="Arial"/>
              </w:rPr>
              <w:t>3. Dentro del modelo de producción del sector primario basado en principios de</w:t>
            </w:r>
          </w:p>
          <w:p w:rsidR="00770967" w:rsidRDefault="00770967" w:rsidP="007709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0967">
              <w:rPr>
                <w:rFonts w:ascii="Arial" w:hAnsi="Arial" w:cs="Arial"/>
              </w:rPr>
              <w:t>economía circular y minimizando los riesgos en el man</w:t>
            </w:r>
            <w:r>
              <w:rPr>
                <w:rFonts w:ascii="Arial" w:hAnsi="Arial" w:cs="Arial"/>
              </w:rPr>
              <w:t xml:space="preserve">ejo y en plazo máximo de 7 años </w:t>
            </w:r>
            <w:r w:rsidRPr="00770967">
              <w:rPr>
                <w:rFonts w:ascii="Arial" w:hAnsi="Arial" w:cs="Arial"/>
              </w:rPr>
              <w:t xml:space="preserve">desde la entrada en vigor de esta ley, </w:t>
            </w:r>
            <w:r w:rsidRPr="00770967">
              <w:rPr>
                <w:rFonts w:ascii="Arial" w:hAnsi="Arial" w:cs="Arial"/>
                <w:u w:val="single"/>
              </w:rPr>
              <w:t xml:space="preserve">la aplicación al suelo de purines y otros </w:t>
            </w:r>
            <w:r w:rsidRPr="00770967">
              <w:rPr>
                <w:rFonts w:ascii="Arial" w:hAnsi="Arial" w:cs="Arial"/>
                <w:u w:val="single"/>
              </w:rPr>
              <w:lastRenderedPageBreak/>
              <w:t>estiércoles con valor fertilizante</w:t>
            </w:r>
            <w:r w:rsidRPr="00770967">
              <w:rPr>
                <w:rFonts w:ascii="Arial" w:hAnsi="Arial" w:cs="Arial"/>
              </w:rPr>
              <w:t>, se podrá realizar siempre que se ajuste a las siguientes limitaciones:</w:t>
            </w:r>
          </w:p>
          <w:p w:rsidR="00770967" w:rsidRPr="00770967" w:rsidRDefault="00770967" w:rsidP="007709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4520D" w:rsidRPr="00770967" w:rsidRDefault="00770967" w:rsidP="007709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0967">
              <w:rPr>
                <w:rFonts w:ascii="Arial" w:hAnsi="Arial" w:cs="Arial"/>
              </w:rPr>
              <w:t>d) Cuando el número de cultivos, en una misma unidad de cultivo, sea de uno al año (las</w:t>
            </w:r>
            <w:r>
              <w:rPr>
                <w:rFonts w:ascii="Arial" w:hAnsi="Arial" w:cs="Arial"/>
              </w:rPr>
              <w:t xml:space="preserve"> </w:t>
            </w:r>
            <w:r w:rsidRPr="00770967">
              <w:rPr>
                <w:rFonts w:ascii="Arial" w:hAnsi="Arial" w:cs="Arial"/>
              </w:rPr>
              <w:t xml:space="preserve">especies para abonado en verde no computan como otro </w:t>
            </w:r>
            <w:r>
              <w:rPr>
                <w:rFonts w:ascii="Arial" w:hAnsi="Arial" w:cs="Arial"/>
              </w:rPr>
              <w:t xml:space="preserve">cultivo), la periodicidad en la </w:t>
            </w:r>
            <w:r w:rsidRPr="00066F57">
              <w:rPr>
                <w:rFonts w:ascii="Arial" w:hAnsi="Arial" w:cs="Arial"/>
                <w:u w:val="single"/>
              </w:rPr>
              <w:t>aplicación de estiércoles será como mínimo bienal</w:t>
            </w:r>
            <w:r w:rsidRPr="00770967">
              <w:rPr>
                <w:rFonts w:ascii="Arial" w:hAnsi="Arial" w:cs="Arial"/>
              </w:rPr>
              <w:t>, salvo que</w:t>
            </w:r>
            <w:r>
              <w:rPr>
                <w:rFonts w:ascii="Arial" w:hAnsi="Arial" w:cs="Arial"/>
              </w:rPr>
              <w:t xml:space="preserve"> los niveles de fertilidad sean </w:t>
            </w:r>
            <w:r w:rsidRPr="00770967">
              <w:rPr>
                <w:rFonts w:ascii="Arial" w:hAnsi="Arial" w:cs="Arial"/>
              </w:rPr>
              <w:t>muy bajos (materia orgánica &lt; 1%, NO3-inicio &lt; 2 5mg</w:t>
            </w:r>
            <w:r>
              <w:rPr>
                <w:rFonts w:ascii="Arial" w:hAnsi="Arial" w:cs="Arial"/>
              </w:rPr>
              <w:t xml:space="preserve">/kg y P </w:t>
            </w:r>
            <w:proofErr w:type="spellStart"/>
            <w:r>
              <w:rPr>
                <w:rFonts w:ascii="Arial" w:hAnsi="Arial" w:cs="Arial"/>
              </w:rPr>
              <w:t>Olsen</w:t>
            </w:r>
            <w:proofErr w:type="spellEnd"/>
            <w:r>
              <w:rPr>
                <w:rFonts w:ascii="Arial" w:hAnsi="Arial" w:cs="Arial"/>
              </w:rPr>
              <w:t xml:space="preserve"> &lt; 25 mg/kg) o las </w:t>
            </w:r>
            <w:r w:rsidRPr="00770967">
              <w:rPr>
                <w:rFonts w:ascii="Arial" w:hAnsi="Arial" w:cs="Arial"/>
              </w:rPr>
              <w:t>extracciones de nutrientes muy elevadas (superior a 170</w:t>
            </w:r>
            <w:r>
              <w:rPr>
                <w:rFonts w:ascii="Arial" w:hAnsi="Arial" w:cs="Arial"/>
              </w:rPr>
              <w:t xml:space="preserve"> kg N/ha), pudiendo en tal caso </w:t>
            </w:r>
            <w:r w:rsidRPr="00770967">
              <w:rPr>
                <w:rFonts w:ascii="Arial" w:hAnsi="Arial" w:cs="Arial"/>
              </w:rPr>
              <w:t>aplicarse con carácter anual. Se exceptúan los culti</w:t>
            </w:r>
            <w:r>
              <w:rPr>
                <w:rFonts w:ascii="Arial" w:hAnsi="Arial" w:cs="Arial"/>
              </w:rPr>
              <w:t xml:space="preserve">vos en conversión y calificados </w:t>
            </w:r>
            <w:r w:rsidRPr="00770967">
              <w:rPr>
                <w:rFonts w:ascii="Arial" w:hAnsi="Arial" w:cs="Arial"/>
              </w:rPr>
              <w:t>oficialmente como ecológicos.</w:t>
            </w:r>
          </w:p>
          <w:p w:rsidR="0044520D" w:rsidRDefault="0044520D" w:rsidP="007D6A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20D" w:rsidTr="007D6AA5">
        <w:tc>
          <w:tcPr>
            <w:tcW w:w="8494" w:type="dxa"/>
          </w:tcPr>
          <w:p w:rsidR="0044520D" w:rsidRPr="00E11974" w:rsidRDefault="0044520D" w:rsidP="007D6A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974">
              <w:rPr>
                <w:rFonts w:ascii="Arial" w:hAnsi="Arial" w:cs="Arial"/>
                <w:b/>
                <w:sz w:val="24"/>
                <w:szCs w:val="24"/>
              </w:rPr>
              <w:lastRenderedPageBreak/>
              <w:t>Respuesta a la consulta</w:t>
            </w:r>
          </w:p>
          <w:p w:rsidR="0044520D" w:rsidRPr="00770967" w:rsidRDefault="00770967" w:rsidP="007D6AA5">
            <w:pPr>
              <w:rPr>
                <w:rFonts w:ascii="Arial" w:hAnsi="Arial" w:cs="Arial"/>
              </w:rPr>
            </w:pPr>
            <w:r w:rsidRPr="00770967">
              <w:rPr>
                <w:rFonts w:ascii="Arial" w:hAnsi="Arial" w:cs="Arial"/>
              </w:rPr>
              <w:t>Situación:</w:t>
            </w:r>
          </w:p>
          <w:p w:rsidR="00770967" w:rsidRPr="00770967" w:rsidRDefault="00770967" w:rsidP="00770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70967">
              <w:rPr>
                <w:rFonts w:ascii="Arial" w:hAnsi="Arial" w:cs="Arial"/>
              </w:rPr>
              <w:t>Cultivo no ecológico</w:t>
            </w:r>
          </w:p>
          <w:p w:rsidR="00770967" w:rsidRDefault="00770967" w:rsidP="00770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70967">
              <w:rPr>
                <w:rFonts w:ascii="Arial" w:hAnsi="Arial" w:cs="Arial"/>
              </w:rPr>
              <w:t>Nivel de fertilidad del suelo superior al indicado en el artículo 42.3.d</w:t>
            </w:r>
          </w:p>
          <w:p w:rsidR="00770967" w:rsidRDefault="00770967" w:rsidP="0077096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 de estiércol bienal. Correcto (art 42.3.d)</w:t>
            </w:r>
          </w:p>
          <w:p w:rsidR="00770967" w:rsidRPr="00770967" w:rsidRDefault="00770967" w:rsidP="00770967">
            <w:pPr>
              <w:pStyle w:val="Prrafodelista"/>
              <w:rPr>
                <w:rFonts w:ascii="Arial" w:hAnsi="Arial" w:cs="Arial"/>
              </w:rPr>
            </w:pPr>
          </w:p>
          <w:p w:rsidR="00770967" w:rsidRDefault="00770967" w:rsidP="00770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¿Se pueden aplicar pellets en el segundo año?</w:t>
            </w:r>
          </w:p>
          <w:p w:rsidR="00770967" w:rsidRDefault="00066F57" w:rsidP="00770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trata de dos productos diferentes. El estiércol formaría parte del artículo 42.3.d y los pellets, del artículo 42.2</w:t>
            </w:r>
          </w:p>
          <w:p w:rsidR="00066F57" w:rsidRDefault="00066F57" w:rsidP="00770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limitación de aplicación de forma bienal solamente está indicada para el uso de purines y otros estiércoles con valor fertilizante (art. 42.3.d)</w:t>
            </w:r>
          </w:p>
          <w:p w:rsidR="00066F57" w:rsidRDefault="00066F57" w:rsidP="00770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aplicación de estiércol se realiza de forma bienal. Cumple con el artículo 42.3.d</w:t>
            </w:r>
          </w:p>
          <w:p w:rsidR="00066F57" w:rsidRDefault="00066F57" w:rsidP="00770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F57" w:rsidRDefault="00066F57" w:rsidP="00770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pellets se podrían emplear al año siguiente, con la condición de que cumpla las indicaciones del artículo 42.2 de la Ley 3/2020, es decir, esté incluido en el Registro de Productos Fertilizantes, según el RD 506/2013 y la aplicación se registre en el cuaderno de explotación</w:t>
            </w:r>
          </w:p>
          <w:p w:rsidR="00066F57" w:rsidRDefault="00066F57" w:rsidP="00770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F57" w:rsidRDefault="00066F57" w:rsidP="00770967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F57" w:rsidRDefault="00066F57" w:rsidP="00770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Vistas las referencias legislativas anteriores, se podría aplicar el estiércol un año y los pellets el año siguiente, repitiendo dicha secuencia</w:t>
            </w:r>
          </w:p>
          <w:p w:rsidR="0044520D" w:rsidRDefault="00066F57" w:rsidP="007D6A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en cuenta incluir la aplicación de estiércol en el balance de nitrógeno</w:t>
            </w:r>
            <w:r w:rsidR="00561D06">
              <w:rPr>
                <w:rFonts w:ascii="Arial" w:hAnsi="Arial" w:cs="Arial"/>
                <w:sz w:val="24"/>
                <w:szCs w:val="24"/>
              </w:rPr>
              <w:t xml:space="preserve"> y realizar análi</w:t>
            </w:r>
            <w:r w:rsidR="001775C7">
              <w:rPr>
                <w:rFonts w:ascii="Arial" w:hAnsi="Arial" w:cs="Arial"/>
                <w:sz w:val="24"/>
                <w:szCs w:val="24"/>
              </w:rPr>
              <w:t>sis del estiércol y</w:t>
            </w:r>
            <w:r w:rsidR="00561D06">
              <w:rPr>
                <w:rFonts w:ascii="Arial" w:hAnsi="Arial" w:cs="Arial"/>
                <w:sz w:val="24"/>
                <w:szCs w:val="24"/>
              </w:rPr>
              <w:t xml:space="preserve"> del suelo al inicio de cada campaña</w:t>
            </w:r>
          </w:p>
        </w:tc>
      </w:tr>
    </w:tbl>
    <w:p w:rsidR="00FE2CD1" w:rsidRDefault="00FE2CD1" w:rsidP="00182402">
      <w:r>
        <w:tab/>
      </w:r>
      <w:r>
        <w:tab/>
      </w:r>
      <w:r>
        <w:tab/>
      </w:r>
      <w:r>
        <w:tab/>
      </w:r>
    </w:p>
    <w:p w:rsidR="00FE2CD1" w:rsidRDefault="00FE2CD1" w:rsidP="00165645">
      <w:pPr>
        <w:jc w:val="both"/>
      </w:pPr>
    </w:p>
    <w:sectPr w:rsidR="00FE2CD1" w:rsidSect="00244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CC" w:rsidRDefault="009C36CC" w:rsidP="0033118A">
      <w:pPr>
        <w:spacing w:after="0" w:line="240" w:lineRule="auto"/>
      </w:pPr>
      <w:r>
        <w:separator/>
      </w:r>
    </w:p>
  </w:endnote>
  <w:endnote w:type="continuationSeparator" w:id="0">
    <w:p w:rsidR="009C36CC" w:rsidRDefault="009C36CC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CC" w:rsidRDefault="009C36CC" w:rsidP="0033118A">
      <w:pPr>
        <w:spacing w:after="0" w:line="240" w:lineRule="auto"/>
      </w:pPr>
      <w:r>
        <w:separator/>
      </w:r>
    </w:p>
  </w:footnote>
  <w:footnote w:type="continuationSeparator" w:id="0">
    <w:p w:rsidR="009C36CC" w:rsidRDefault="009C36CC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BF3C6C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E5783"/>
    <w:multiLevelType w:val="hybridMultilevel"/>
    <w:tmpl w:val="56927C3A"/>
    <w:lvl w:ilvl="0" w:tplc="66542B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29"/>
    <w:rsid w:val="00047D79"/>
    <w:rsid w:val="00066F57"/>
    <w:rsid w:val="0008505E"/>
    <w:rsid w:val="000A6CBE"/>
    <w:rsid w:val="000B4103"/>
    <w:rsid w:val="000C58DE"/>
    <w:rsid w:val="000F69B2"/>
    <w:rsid w:val="00110C9A"/>
    <w:rsid w:val="0013104E"/>
    <w:rsid w:val="00134543"/>
    <w:rsid w:val="001353E8"/>
    <w:rsid w:val="00165645"/>
    <w:rsid w:val="001775C7"/>
    <w:rsid w:val="00182402"/>
    <w:rsid w:val="0019746C"/>
    <w:rsid w:val="001F6198"/>
    <w:rsid w:val="0020548E"/>
    <w:rsid w:val="00235B81"/>
    <w:rsid w:val="00244494"/>
    <w:rsid w:val="002C71E3"/>
    <w:rsid w:val="0031458C"/>
    <w:rsid w:val="0033118A"/>
    <w:rsid w:val="003C26F0"/>
    <w:rsid w:val="003C6C29"/>
    <w:rsid w:val="0044520D"/>
    <w:rsid w:val="0044770D"/>
    <w:rsid w:val="004E7DEE"/>
    <w:rsid w:val="005271AF"/>
    <w:rsid w:val="00546BB5"/>
    <w:rsid w:val="00561D06"/>
    <w:rsid w:val="005A0F5B"/>
    <w:rsid w:val="005F4780"/>
    <w:rsid w:val="006069FB"/>
    <w:rsid w:val="006321CE"/>
    <w:rsid w:val="006745B7"/>
    <w:rsid w:val="00681F44"/>
    <w:rsid w:val="006E3224"/>
    <w:rsid w:val="00701FD0"/>
    <w:rsid w:val="00717A27"/>
    <w:rsid w:val="00752411"/>
    <w:rsid w:val="00763285"/>
    <w:rsid w:val="00770967"/>
    <w:rsid w:val="007A62C5"/>
    <w:rsid w:val="00805E6D"/>
    <w:rsid w:val="00852FB1"/>
    <w:rsid w:val="008B55BB"/>
    <w:rsid w:val="008E3810"/>
    <w:rsid w:val="008E79F9"/>
    <w:rsid w:val="009B0318"/>
    <w:rsid w:val="009C36CC"/>
    <w:rsid w:val="00A01ACF"/>
    <w:rsid w:val="00A441B7"/>
    <w:rsid w:val="00A70AA5"/>
    <w:rsid w:val="00AF094A"/>
    <w:rsid w:val="00BF3C6C"/>
    <w:rsid w:val="00C31D2B"/>
    <w:rsid w:val="00C36449"/>
    <w:rsid w:val="00C44004"/>
    <w:rsid w:val="00CE1977"/>
    <w:rsid w:val="00D0196C"/>
    <w:rsid w:val="00D127AD"/>
    <w:rsid w:val="00D55D38"/>
    <w:rsid w:val="00DE191D"/>
    <w:rsid w:val="00E11974"/>
    <w:rsid w:val="00EE6851"/>
    <w:rsid w:val="00F217D2"/>
    <w:rsid w:val="00F52F15"/>
    <w:rsid w:val="00F57B54"/>
    <w:rsid w:val="00F64701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3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3454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7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8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5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3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55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97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84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554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247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929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364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576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342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470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5987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9158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6861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8175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4125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3671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9929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3338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20240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5414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g12n\AppData\Local\Temp\7zO8BFE7CE1\CAAGPMAE%20-%20DG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c9c8636-0486-4c9b-b75c-7b805ddaaf65"/>
    <ds:schemaRef ds:uri="http://schemas.microsoft.com/office/2006/metadata/properties"/>
    <ds:schemaRef ds:uri="http://purl.org/dc/elements/1.1/"/>
    <ds:schemaRef ds:uri="bab14156-fcf3-44e2-9c4b-c33f1f92d4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CAAGPMAE - DGA.dotx</Template>
  <TotalTime>0</TotalTime>
  <Pages>2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2022-11-29T12:15:00Z</dcterms:created>
  <dcterms:modified xsi:type="dcterms:W3CDTF">2022-11-29T12:15:00Z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