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B6CD" w14:textId="77777777" w:rsidR="0029607C" w:rsidRDefault="0029607C"/>
    <w:p w14:paraId="31AEA393" w14:textId="77777777" w:rsidR="004875A0" w:rsidRDefault="004875A0"/>
    <w:p w14:paraId="13C614B9" w14:textId="77777777" w:rsidR="004875A0" w:rsidRDefault="004875A0">
      <w:pPr>
        <w:rPr>
          <w:noProof/>
          <w:lang w:eastAsia="es-ES"/>
        </w:rPr>
      </w:pPr>
    </w:p>
    <w:p w14:paraId="3115BA46" w14:textId="77777777" w:rsidR="004875A0" w:rsidRDefault="004875A0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B0E328B" wp14:editId="0F64BC2A">
            <wp:simplePos x="0" y="0"/>
            <wp:positionH relativeFrom="margin">
              <wp:posOffset>1299845</wp:posOffset>
            </wp:positionH>
            <wp:positionV relativeFrom="paragraph">
              <wp:posOffset>42545</wp:posOffset>
            </wp:positionV>
            <wp:extent cx="2800350" cy="1190625"/>
            <wp:effectExtent l="0" t="0" r="0" b="9525"/>
            <wp:wrapSquare wrapText="bothSides"/>
            <wp:docPr id="1" name="Imagen 1" descr="Escud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7EAB2" w14:textId="77777777" w:rsidR="004875A0" w:rsidRDefault="004875A0">
      <w:pPr>
        <w:rPr>
          <w:noProof/>
          <w:lang w:eastAsia="es-ES"/>
        </w:rPr>
      </w:pPr>
    </w:p>
    <w:p w14:paraId="44136B48" w14:textId="77777777" w:rsidR="004875A0" w:rsidRDefault="004875A0">
      <w:pPr>
        <w:rPr>
          <w:noProof/>
          <w:lang w:eastAsia="es-ES"/>
        </w:rPr>
      </w:pPr>
    </w:p>
    <w:p w14:paraId="380780F9" w14:textId="77777777" w:rsidR="004875A0" w:rsidRDefault="004875A0">
      <w:pPr>
        <w:rPr>
          <w:noProof/>
          <w:lang w:eastAsia="es-ES"/>
        </w:rPr>
      </w:pPr>
    </w:p>
    <w:p w14:paraId="12EBA5CE" w14:textId="77777777" w:rsidR="004875A0" w:rsidRDefault="004875A0">
      <w:pPr>
        <w:rPr>
          <w:noProof/>
          <w:lang w:eastAsia="es-ES"/>
        </w:rPr>
      </w:pPr>
    </w:p>
    <w:p w14:paraId="75447F0A" w14:textId="77777777" w:rsidR="004875A0" w:rsidRDefault="004875A0" w:rsidP="004875A0">
      <w:pPr>
        <w:jc w:val="center"/>
        <w:rPr>
          <w:b/>
          <w:noProof/>
          <w:sz w:val="52"/>
          <w:szCs w:val="52"/>
          <w:lang w:eastAsia="es-ES"/>
        </w:rPr>
      </w:pPr>
    </w:p>
    <w:p w14:paraId="5FCA8D1B" w14:textId="77777777" w:rsidR="004875A0" w:rsidRDefault="004875A0" w:rsidP="004875A0">
      <w:pPr>
        <w:jc w:val="center"/>
        <w:rPr>
          <w:b/>
          <w:noProof/>
          <w:sz w:val="52"/>
          <w:szCs w:val="52"/>
          <w:lang w:eastAsia="es-ES"/>
        </w:rPr>
      </w:pPr>
      <w:r w:rsidRPr="004875A0">
        <w:rPr>
          <w:b/>
          <w:noProof/>
          <w:sz w:val="52"/>
          <w:szCs w:val="52"/>
          <w:lang w:eastAsia="es-ES"/>
        </w:rPr>
        <w:t>Consejería de Educación</w:t>
      </w:r>
    </w:p>
    <w:p w14:paraId="789422FE" w14:textId="77777777" w:rsidR="004875A0" w:rsidRDefault="004875A0" w:rsidP="004875A0">
      <w:pPr>
        <w:jc w:val="center"/>
        <w:rPr>
          <w:b/>
          <w:noProof/>
          <w:sz w:val="52"/>
          <w:szCs w:val="52"/>
          <w:lang w:eastAsia="es-ES"/>
        </w:rPr>
      </w:pPr>
    </w:p>
    <w:p w14:paraId="660F5079" w14:textId="77777777" w:rsidR="004875A0" w:rsidRDefault="004875A0" w:rsidP="004875A0">
      <w:pPr>
        <w:jc w:val="center"/>
        <w:rPr>
          <w:b/>
          <w:noProof/>
          <w:sz w:val="52"/>
          <w:szCs w:val="52"/>
          <w:lang w:eastAsia="es-ES"/>
        </w:rPr>
      </w:pPr>
    </w:p>
    <w:p w14:paraId="748F28DE" w14:textId="376BE9B6" w:rsidR="004875A0" w:rsidRDefault="002321D7" w:rsidP="004875A0">
      <w:pPr>
        <w:jc w:val="center"/>
        <w:rPr>
          <w:b/>
          <w:noProof/>
          <w:sz w:val="52"/>
          <w:szCs w:val="52"/>
          <w:lang w:eastAsia="es-ES"/>
        </w:rPr>
      </w:pPr>
      <w:r>
        <w:rPr>
          <w:b/>
          <w:noProof/>
          <w:sz w:val="52"/>
          <w:szCs w:val="52"/>
          <w:lang w:eastAsia="es-ES"/>
        </w:rPr>
        <w:t>PROPUESTA PEDAGÓGICA DE EDUCACIÓN INFANTIL</w:t>
      </w:r>
      <w:r w:rsidR="002877BA">
        <w:rPr>
          <w:b/>
          <w:noProof/>
          <w:sz w:val="52"/>
          <w:szCs w:val="52"/>
          <w:lang w:eastAsia="es-ES"/>
        </w:rPr>
        <w:t xml:space="preserve"> </w:t>
      </w:r>
    </w:p>
    <w:p w14:paraId="331FB09B" w14:textId="77777777" w:rsidR="004875A0" w:rsidRPr="007432E3" w:rsidRDefault="004875A0" w:rsidP="004875A0">
      <w:pPr>
        <w:jc w:val="center"/>
        <w:rPr>
          <w:b/>
          <w:noProof/>
          <w:sz w:val="16"/>
          <w:szCs w:val="16"/>
          <w:lang w:eastAsia="es-ES"/>
        </w:rPr>
      </w:pPr>
    </w:p>
    <w:p w14:paraId="61C6E9C5" w14:textId="77777777" w:rsidR="004875A0" w:rsidRPr="007432E3" w:rsidRDefault="004875A0" w:rsidP="004875A0">
      <w:pPr>
        <w:jc w:val="center"/>
        <w:rPr>
          <w:b/>
          <w:noProof/>
          <w:sz w:val="16"/>
          <w:szCs w:val="16"/>
          <w:lang w:eastAsia="es-ES"/>
        </w:rPr>
      </w:pPr>
    </w:p>
    <w:p w14:paraId="27032500" w14:textId="77777777" w:rsidR="007432E3" w:rsidRPr="007432E3" w:rsidRDefault="007432E3" w:rsidP="004875A0">
      <w:pPr>
        <w:jc w:val="center"/>
        <w:rPr>
          <w:b/>
          <w:noProof/>
          <w:sz w:val="16"/>
          <w:szCs w:val="16"/>
          <w:lang w:eastAsia="es-ES"/>
        </w:rPr>
      </w:pPr>
    </w:p>
    <w:p w14:paraId="3EAF4332" w14:textId="77777777" w:rsidR="004875A0" w:rsidRPr="007432E3" w:rsidRDefault="004875A0" w:rsidP="007432E3">
      <w:pPr>
        <w:rPr>
          <w:b/>
          <w:sz w:val="16"/>
          <w:szCs w:val="16"/>
        </w:rPr>
      </w:pPr>
    </w:p>
    <w:p w14:paraId="1111D9D7" w14:textId="77777777" w:rsidR="007432E3" w:rsidRDefault="007432E3" w:rsidP="007432E3">
      <w:pPr>
        <w:rPr>
          <w:b/>
          <w:sz w:val="52"/>
          <w:szCs w:val="52"/>
        </w:rPr>
      </w:pPr>
    </w:p>
    <w:tbl>
      <w:tblPr>
        <w:tblpPr w:leftFromText="141" w:rightFromText="141" w:vertAnchor="text" w:horzAnchor="margin" w:tblpY="137"/>
        <w:tblW w:w="0" w:type="auto"/>
        <w:tblLook w:val="01E0" w:firstRow="1" w:lastRow="1" w:firstColumn="1" w:lastColumn="1" w:noHBand="0" w:noVBand="0"/>
      </w:tblPr>
      <w:tblGrid>
        <w:gridCol w:w="8504"/>
      </w:tblGrid>
      <w:tr w:rsidR="007432E3" w:rsidRPr="001B594C" w14:paraId="3CFD79AB" w14:textId="77777777" w:rsidTr="00DE3FC5">
        <w:tc>
          <w:tcPr>
            <w:tcW w:w="8504" w:type="dxa"/>
          </w:tcPr>
          <w:p w14:paraId="74DEB51D" w14:textId="77777777" w:rsidR="007432E3" w:rsidRPr="00332EAD" w:rsidRDefault="007432E3" w:rsidP="00DE3FC5">
            <w:pPr>
              <w:pStyle w:val="Encabezado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332EAD">
              <w:rPr>
                <w:rFonts w:cstheme="minorHAnsi"/>
                <w:b/>
                <w:sz w:val="36"/>
                <w:szCs w:val="36"/>
              </w:rPr>
              <w:t xml:space="preserve">Curso: </w:t>
            </w:r>
          </w:p>
          <w:p w14:paraId="1ED71997" w14:textId="77777777" w:rsidR="007432E3" w:rsidRPr="00332EAD" w:rsidRDefault="007432E3" w:rsidP="00DE3FC5">
            <w:pPr>
              <w:pStyle w:val="Encabezado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332EAD">
              <w:rPr>
                <w:rFonts w:cstheme="minorHAnsi"/>
                <w:b/>
                <w:sz w:val="36"/>
                <w:szCs w:val="36"/>
              </w:rPr>
              <w:t xml:space="preserve">Centro: </w:t>
            </w:r>
          </w:p>
        </w:tc>
      </w:tr>
      <w:tr w:rsidR="007432E3" w:rsidRPr="001B594C" w14:paraId="76F12DC6" w14:textId="77777777" w:rsidTr="00DE3FC5">
        <w:tc>
          <w:tcPr>
            <w:tcW w:w="8504" w:type="dxa"/>
          </w:tcPr>
          <w:p w14:paraId="6331575B" w14:textId="77777777" w:rsidR="007432E3" w:rsidRPr="00332EAD" w:rsidRDefault="007432E3" w:rsidP="00DE3FC5">
            <w:pPr>
              <w:jc w:val="both"/>
              <w:rPr>
                <w:rFonts w:cstheme="minorHAnsi"/>
                <w:b/>
                <w:sz w:val="36"/>
                <w:szCs w:val="36"/>
                <w:lang w:val="es-ES_tradnl"/>
              </w:rPr>
            </w:pPr>
            <w:r w:rsidRPr="00332EAD">
              <w:rPr>
                <w:rFonts w:cstheme="minorHAnsi"/>
                <w:b/>
                <w:sz w:val="36"/>
                <w:szCs w:val="36"/>
              </w:rPr>
              <w:t xml:space="preserve">Localidad: </w:t>
            </w:r>
          </w:p>
        </w:tc>
      </w:tr>
    </w:tbl>
    <w:p w14:paraId="1D75FE77" w14:textId="77777777" w:rsidR="007432E3" w:rsidRDefault="007432E3" w:rsidP="007432E3">
      <w:pPr>
        <w:rPr>
          <w:b/>
          <w:sz w:val="52"/>
          <w:szCs w:val="52"/>
        </w:rPr>
      </w:pPr>
    </w:p>
    <w:p w14:paraId="52AFE6AF" w14:textId="77777777" w:rsidR="007907FF" w:rsidRDefault="007907FF" w:rsidP="007432E3">
      <w:pPr>
        <w:rPr>
          <w:rFonts w:ascii="Arial" w:hAnsi="Arial" w:cs="Arial"/>
          <w:b/>
        </w:rPr>
      </w:pPr>
    </w:p>
    <w:p w14:paraId="1CE86FE6" w14:textId="77777777" w:rsidR="00065D93" w:rsidRDefault="00065D93" w:rsidP="007432E3">
      <w:pPr>
        <w:rPr>
          <w:rFonts w:ascii="Arial" w:hAnsi="Arial" w:cs="Arial"/>
          <w:b/>
        </w:rPr>
      </w:pPr>
    </w:p>
    <w:p w14:paraId="1C197903" w14:textId="77777777" w:rsidR="00065D93" w:rsidRPr="00A44631" w:rsidRDefault="00065D93" w:rsidP="007432E3">
      <w:pPr>
        <w:rPr>
          <w:rFonts w:ascii="Arial" w:hAnsi="Arial" w:cs="Arial"/>
          <w:b/>
        </w:rPr>
      </w:pPr>
    </w:p>
    <w:tbl>
      <w:tblPr>
        <w:tblW w:w="9648" w:type="dxa"/>
        <w:tblInd w:w="-11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786"/>
        <w:gridCol w:w="862"/>
      </w:tblGrid>
      <w:tr w:rsidR="007907FF" w:rsidRPr="00822191" w14:paraId="47ACEE05" w14:textId="77777777" w:rsidTr="00A44631">
        <w:trPr>
          <w:trHeight w:val="281"/>
        </w:trPr>
        <w:tc>
          <w:tcPr>
            <w:tcW w:w="8786" w:type="dxa"/>
            <w:shd w:val="clear" w:color="auto" w:fill="BDD6EE" w:themeFill="accent1" w:themeFillTint="66"/>
          </w:tcPr>
          <w:p w14:paraId="41319E0B" w14:textId="77777777" w:rsidR="007907FF" w:rsidRPr="00761EA8" w:rsidRDefault="007907FF" w:rsidP="00DE3FC5">
            <w:pPr>
              <w:jc w:val="both"/>
              <w:rPr>
                <w:rFonts w:ascii="Arial" w:hAnsi="Arial" w:cs="Arial"/>
                <w:b/>
              </w:rPr>
            </w:pPr>
            <w:r w:rsidRPr="00761EA8">
              <w:rPr>
                <w:rFonts w:ascii="Arial" w:hAnsi="Arial" w:cs="Arial"/>
                <w:b/>
              </w:rPr>
              <w:t>ÍNDICE</w:t>
            </w:r>
          </w:p>
        </w:tc>
        <w:tc>
          <w:tcPr>
            <w:tcW w:w="862" w:type="dxa"/>
            <w:shd w:val="clear" w:color="auto" w:fill="9CC2E5" w:themeFill="accent1" w:themeFillTint="99"/>
          </w:tcPr>
          <w:p w14:paraId="2788D700" w14:textId="77777777" w:rsidR="007907FF" w:rsidRPr="007432E3" w:rsidRDefault="007907FF" w:rsidP="00DE3F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32E3">
              <w:rPr>
                <w:rFonts w:ascii="Arial" w:hAnsi="Arial" w:cs="Arial"/>
                <w:b/>
                <w:sz w:val="18"/>
                <w:szCs w:val="18"/>
              </w:rPr>
              <w:t>Página</w:t>
            </w:r>
          </w:p>
        </w:tc>
      </w:tr>
      <w:tr w:rsidR="007907FF" w:rsidRPr="00822191" w14:paraId="10EA795A" w14:textId="77777777" w:rsidTr="00DE3FC5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5034198C" w14:textId="77777777" w:rsidR="007907FF" w:rsidRPr="00761EA8" w:rsidRDefault="007907FF" w:rsidP="00DE3FC5">
            <w:pPr>
              <w:jc w:val="both"/>
            </w:pPr>
          </w:p>
        </w:tc>
        <w:tc>
          <w:tcPr>
            <w:tcW w:w="862" w:type="dxa"/>
            <w:shd w:val="clear" w:color="auto" w:fill="FFFFFF" w:themeFill="background1"/>
            <w:vAlign w:val="bottom"/>
          </w:tcPr>
          <w:p w14:paraId="79C4E0A1" w14:textId="77777777" w:rsidR="007907FF" w:rsidRPr="00761EA8" w:rsidRDefault="007907FF" w:rsidP="00DE3F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07FF" w:rsidRPr="00F20A2E" w14:paraId="683EBD13" w14:textId="77777777" w:rsidTr="00C80BCC">
        <w:trPr>
          <w:trHeight w:val="505"/>
        </w:trPr>
        <w:tc>
          <w:tcPr>
            <w:tcW w:w="8786" w:type="dxa"/>
            <w:shd w:val="clear" w:color="auto" w:fill="FFFFFF" w:themeFill="background1"/>
          </w:tcPr>
          <w:p w14:paraId="0E3E24BA" w14:textId="66E0DB6B" w:rsidR="007907FF" w:rsidRPr="00F20A2E" w:rsidRDefault="009D25E0" w:rsidP="00A4463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hyperlink w:anchor="Reflegal" w:history="1">
              <w:r w:rsidR="007907FF" w:rsidRPr="00F20A2E">
                <w:rPr>
                  <w:rStyle w:val="Hipervnculo"/>
                  <w:rFonts w:ascii="Arial" w:hAnsi="Arial" w:cs="Arial"/>
                  <w:b/>
                  <w:color w:val="auto"/>
                  <w:u w:val="none"/>
                </w:rPr>
                <w:t>REFERENTE LEGAL</w:t>
              </w:r>
            </w:hyperlink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01139B70" w14:textId="7DC28C83" w:rsidR="007907FF" w:rsidRPr="00C80BCC" w:rsidRDefault="00C80BCC" w:rsidP="00C80BCC">
            <w:pPr>
              <w:spacing w:after="0" w:line="240" w:lineRule="auto"/>
              <w:jc w:val="right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>3</w:t>
            </w:r>
          </w:p>
        </w:tc>
      </w:tr>
      <w:tr w:rsidR="007907FF" w:rsidRPr="00822191" w14:paraId="6505E39A" w14:textId="77777777" w:rsidTr="00C80BCC">
        <w:trPr>
          <w:trHeight w:val="542"/>
        </w:trPr>
        <w:tc>
          <w:tcPr>
            <w:tcW w:w="8786" w:type="dxa"/>
            <w:shd w:val="clear" w:color="auto" w:fill="FFFFFF" w:themeFill="background1"/>
          </w:tcPr>
          <w:p w14:paraId="738D31F6" w14:textId="5DEFB7A4" w:rsidR="007907FF" w:rsidRPr="002321D7" w:rsidRDefault="002321D7" w:rsidP="00A4463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2321D7">
              <w:rPr>
                <w:rFonts w:ascii="Arial" w:hAnsi="Arial" w:cs="Arial"/>
                <w:b/>
              </w:rPr>
              <w:t>LA ADECUACIÓN DE LOS OBJETIVOS GENERALES AL CONTEXTO DEL CENTRO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0AC28F73" w14:textId="77777777" w:rsidR="007907FF" w:rsidRPr="00C80BCC" w:rsidRDefault="007907FF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907FF" w:rsidRPr="00822191" w14:paraId="70195167" w14:textId="77777777" w:rsidTr="00C80BCC">
        <w:trPr>
          <w:trHeight w:val="577"/>
        </w:trPr>
        <w:tc>
          <w:tcPr>
            <w:tcW w:w="8786" w:type="dxa"/>
            <w:shd w:val="clear" w:color="auto" w:fill="FFFFFF" w:themeFill="background1"/>
          </w:tcPr>
          <w:p w14:paraId="53EFA0F1" w14:textId="4E4E5357" w:rsidR="007907FF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2321D7">
              <w:rPr>
                <w:rFonts w:ascii="Arial" w:hAnsi="Arial" w:cs="Arial"/>
                <w:b/>
              </w:rPr>
              <w:t>LOS CRITERIOS PARA DESARROLLAR LOS PRINCIPIOS PEDAGÓGICOS E INCORPORAR ELEMENTOS TRANSVERSALES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2AFE1285" w14:textId="77777777" w:rsidR="007907FF" w:rsidRPr="00C80BCC" w:rsidRDefault="007907FF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907FF" w:rsidRPr="00822191" w14:paraId="2BC60FAA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5075735F" w14:textId="42FD18EA" w:rsidR="007907FF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2321D7">
              <w:rPr>
                <w:rFonts w:ascii="Arial" w:hAnsi="Arial" w:cs="Arial"/>
                <w:b/>
              </w:rPr>
              <w:t>LOS CRITERIOS CON CARÁCTER GENERAL SOBRE LA METODOLOGÍA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44D7F45B" w14:textId="77777777" w:rsidR="007907FF" w:rsidRPr="00C80BCC" w:rsidRDefault="007907FF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722A7487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7FBA1CB2" w14:textId="1F078BA8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2321D7">
              <w:rPr>
                <w:rFonts w:ascii="Arial" w:hAnsi="Arial" w:cs="Arial"/>
                <w:b/>
                <w:color w:val="000000" w:themeColor="text1"/>
              </w:rPr>
              <w:t>LAS MEDIDAS DE COORDINACIÓN ENTRE PRIMER Y SEGUNDO CICLO</w:t>
            </w:r>
            <w:r w:rsidR="00C80BCC">
              <w:rPr>
                <w:rFonts w:ascii="Arial" w:hAnsi="Arial" w:cs="Arial"/>
                <w:b/>
                <w:color w:val="000000" w:themeColor="text1"/>
              </w:rPr>
              <w:t xml:space="preserve"> DE EDUCACIÓN INFANTIL, ASÍ COMO CON EL PRIMER CICLO DE</w:t>
            </w:r>
            <w:r w:rsidRPr="002321D7">
              <w:rPr>
                <w:rFonts w:ascii="Arial" w:hAnsi="Arial" w:cs="Arial"/>
                <w:b/>
                <w:color w:val="000000" w:themeColor="text1"/>
              </w:rPr>
              <w:t xml:space="preserve"> EDUCACIÓN</w:t>
            </w:r>
            <w:r w:rsidR="00C80BCC">
              <w:rPr>
                <w:rFonts w:ascii="Arial" w:hAnsi="Arial" w:cs="Arial"/>
                <w:b/>
                <w:color w:val="000000" w:themeColor="text1"/>
              </w:rPr>
              <w:t xml:space="preserve"> PRIMARIA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21EBE7DB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0802BEAF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2F47F298" w14:textId="78AC1361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321D7">
              <w:rPr>
                <w:rStyle w:val="Hipervnculo"/>
                <w:rFonts w:ascii="Arial" w:hAnsi="Arial" w:cs="Arial"/>
                <w:b/>
                <w:bCs/>
                <w:color w:val="000000" w:themeColor="text1"/>
                <w:u w:val="none"/>
              </w:rPr>
              <w:t>LAS MEDIDAS DE COORDINACIÓN ENTRE LOS MAESTROS QUE IMPAR</w:t>
            </w:r>
            <w:r w:rsidR="00E9146A">
              <w:rPr>
                <w:rStyle w:val="Hipervnculo"/>
                <w:rFonts w:ascii="Arial" w:hAnsi="Arial" w:cs="Arial"/>
                <w:b/>
                <w:bCs/>
                <w:color w:val="000000" w:themeColor="text1"/>
                <w:u w:val="none"/>
              </w:rPr>
              <w:t>TEN DOCENCIA EN EL MISMO CURSO Y</w:t>
            </w:r>
            <w:r w:rsidRPr="002321D7">
              <w:rPr>
                <w:rStyle w:val="Hipervnculo"/>
                <w:rFonts w:ascii="Arial" w:hAnsi="Arial" w:cs="Arial"/>
                <w:b/>
                <w:bCs/>
                <w:color w:val="000000" w:themeColor="text1"/>
                <w:u w:val="none"/>
              </w:rPr>
              <w:t xml:space="preserve"> </w:t>
            </w:r>
            <w:r w:rsidR="00E9146A">
              <w:rPr>
                <w:rStyle w:val="Hipervnculo"/>
                <w:rFonts w:ascii="Arial" w:hAnsi="Arial" w:cs="Arial"/>
                <w:b/>
                <w:bCs/>
                <w:color w:val="000000" w:themeColor="text1"/>
                <w:u w:val="none"/>
              </w:rPr>
              <w:t>CICLO DE LA ETAPA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76327015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254002E3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532AC88E" w14:textId="7EAAE6D5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Style w:val="Hipervnculo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 w:rsidRPr="002321D7"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>LOS CRITERIOS GENERALES PARA LA COORDINACIÓN DE LOS DISTINTOS PROFESIONALES QUE INTERVIENEN EN EL CENT</w:t>
            </w:r>
            <w:r w:rsidR="00E9146A"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>RO EDUCATIVO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2B5CE167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0531E46B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2EA9F97C" w14:textId="2D65826E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r w:rsidRPr="002321D7">
              <w:rPr>
                <w:rFonts w:ascii="Arial" w:hAnsi="Arial" w:cs="Arial"/>
                <w:b/>
                <w:bCs/>
              </w:rPr>
              <w:t>LOS CRITERIOS DE CARÁCTER GENERAL SOBRE LOS MATERIALES Y RECURSOS DIDÁCTICOS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49D4D666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09B2F5E2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43F73F0D" w14:textId="5EA390BE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2321D7">
              <w:rPr>
                <w:rFonts w:ascii="Arial" w:hAnsi="Arial" w:cs="Arial"/>
                <w:b/>
                <w:bCs/>
              </w:rPr>
              <w:t>LOS CRITERIOS PARA ESTABLECER LA OFERTA EDUCATIVA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7F3AB15B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13CB638D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315009A6" w14:textId="771DF868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2321D7">
              <w:rPr>
                <w:rFonts w:ascii="Arial" w:hAnsi="Arial" w:cs="Arial"/>
                <w:b/>
                <w:bCs/>
              </w:rPr>
              <w:t xml:space="preserve">LOS CRITERIOS </w:t>
            </w:r>
            <w:r w:rsidRPr="002321D7">
              <w:rPr>
                <w:rFonts w:ascii="Arial" w:hAnsi="Arial" w:cs="Arial"/>
                <w:b/>
                <w:bCs/>
                <w:color w:val="000000" w:themeColor="text1"/>
              </w:rPr>
              <w:t>PARA EL DISEÑO DE LAS ACTIVIDADES COMPLEMENTARIAS Y EXTRAESCOLARES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668EEA9D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1BA64CA4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3DF12CD4" w14:textId="3BF2E3B0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2321D7">
              <w:rPr>
                <w:rFonts w:ascii="Arial" w:hAnsi="Arial" w:cs="Arial"/>
                <w:b/>
                <w:bCs/>
                <w:color w:val="000000" w:themeColor="text1"/>
              </w:rPr>
              <w:t>LOS CRITERIOS PARA LA PARTICIPACIÓN DEL CENTRO EN PROYECTOS, PLANES, Y PROGRAMAS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68518D4A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63D3C18C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057A76C0" w14:textId="59F82E7E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21D7">
              <w:rPr>
                <w:rFonts w:ascii="Arial" w:hAnsi="Arial" w:cs="Arial"/>
                <w:b/>
                <w:bCs/>
              </w:rPr>
              <w:t>LOS CRITERIOS GENERALES DE EVALUACIÓN DE APR</w:t>
            </w:r>
            <w:r w:rsidR="00E9146A">
              <w:rPr>
                <w:rFonts w:ascii="Arial" w:hAnsi="Arial" w:cs="Arial"/>
                <w:b/>
                <w:bCs/>
              </w:rPr>
              <w:t>ENDIZAJES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462A678F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59179914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12D3DEA4" w14:textId="1FD2D1CB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2321D7"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>LOS CRITERIOS PARA EL DISEÑO DE MEDIDAS DE REFUERZO Y DE ATENCIÓN AL ALUMNADO CON NECESIDADES ESPECÍFICAS DE APOYO EDUCATIVO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651105C7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2F879A86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33206608" w14:textId="4388299E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r w:rsidRPr="002321D7"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>LAS ACTUACIONES PREVISTAS PARA LA COLABORACIÓN PERMANENTE CON LAS FAMILIAS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7CF71FB0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5C493025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6E9822F4" w14:textId="16AE660C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bookmarkStart w:id="0" w:name="_Hlk109331128"/>
            <w:r w:rsidRPr="002321D7">
              <w:rPr>
                <w:rFonts w:ascii="Arial" w:hAnsi="Arial" w:cs="Arial"/>
                <w:b/>
                <w:bCs/>
              </w:rPr>
              <w:t>LAS DECISIONES Y LOS CRITERIOS GENERALES PARA LA ELABORACIÓN DE LAS PROGRAMACIONES DOCENTES</w:t>
            </w:r>
            <w:bookmarkEnd w:id="0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5D81EC0A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321D7" w:rsidRPr="00822191" w14:paraId="3BA40511" w14:textId="77777777" w:rsidTr="00C80BCC">
        <w:trPr>
          <w:trHeight w:val="281"/>
        </w:trPr>
        <w:tc>
          <w:tcPr>
            <w:tcW w:w="8786" w:type="dxa"/>
            <w:shd w:val="clear" w:color="auto" w:fill="FFFFFF" w:themeFill="background1"/>
          </w:tcPr>
          <w:p w14:paraId="02C8E788" w14:textId="4EE4F122" w:rsidR="002321D7" w:rsidRPr="002321D7" w:rsidRDefault="002321D7" w:rsidP="00DE3FC5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2321D7">
              <w:rPr>
                <w:rFonts w:ascii="Arial" w:hAnsi="Arial" w:cs="Arial"/>
                <w:b/>
                <w:bCs/>
              </w:rPr>
              <w:t>LAS PROGRAMACIONES DOCENTES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706707D2" w14:textId="77777777" w:rsidR="002321D7" w:rsidRPr="00C80BCC" w:rsidRDefault="002321D7" w:rsidP="00C80BC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C839CE0" w14:textId="77777777" w:rsidR="007907FF" w:rsidRPr="00B40719" w:rsidRDefault="007907FF" w:rsidP="007432E3">
      <w:pPr>
        <w:rPr>
          <w:b/>
          <w:sz w:val="24"/>
          <w:szCs w:val="24"/>
        </w:rPr>
      </w:pPr>
    </w:p>
    <w:p w14:paraId="0060EA24" w14:textId="5455C0A7" w:rsidR="00250B7B" w:rsidRDefault="0054553C" w:rsidP="0054553C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D524630" w14:textId="77777777" w:rsidR="00B9509E" w:rsidRDefault="00B9509E" w:rsidP="0054553C">
      <w:pPr>
        <w:tabs>
          <w:tab w:val="left" w:pos="1710"/>
        </w:tabs>
        <w:rPr>
          <w:b/>
          <w:sz w:val="24"/>
          <w:szCs w:val="24"/>
        </w:rPr>
      </w:pPr>
    </w:p>
    <w:p w14:paraId="185B75C2" w14:textId="77777777" w:rsidR="00B9509E" w:rsidRDefault="00B9509E" w:rsidP="0054553C">
      <w:pPr>
        <w:tabs>
          <w:tab w:val="left" w:pos="1710"/>
        </w:tabs>
        <w:rPr>
          <w:b/>
          <w:sz w:val="24"/>
          <w:szCs w:val="24"/>
        </w:rPr>
      </w:pPr>
    </w:p>
    <w:p w14:paraId="210309C6" w14:textId="759F2829" w:rsidR="00250B7B" w:rsidRPr="00094663" w:rsidRDefault="00250B7B" w:rsidP="00094663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bookmarkStart w:id="1" w:name="Reflegal"/>
      <w:r w:rsidRPr="00094663">
        <w:rPr>
          <w:rStyle w:val="Hipervnculo"/>
          <w:rFonts w:ascii="Arial" w:hAnsi="Arial" w:cs="Arial"/>
          <w:b/>
          <w:color w:val="auto"/>
          <w:u w:val="none"/>
        </w:rPr>
        <w:t>REFERENTE</w:t>
      </w:r>
      <w:r w:rsidRPr="00094663">
        <w:rPr>
          <w:rFonts w:ascii="Arial" w:hAnsi="Arial" w:cs="Arial"/>
          <w:b/>
        </w:rPr>
        <w:t xml:space="preserve"> LEGAL</w:t>
      </w:r>
      <w:bookmarkEnd w:id="1"/>
    </w:p>
    <w:p w14:paraId="0C9AA83B" w14:textId="77777777" w:rsidR="00CD1E5E" w:rsidRDefault="00CD1E5E" w:rsidP="009A6DA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lang w:eastAsia="es-ES"/>
        </w:rPr>
      </w:pPr>
    </w:p>
    <w:p w14:paraId="3DDBDECF" w14:textId="7F45B5BA" w:rsidR="00B9509E" w:rsidRDefault="009A6DA0" w:rsidP="00B9509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Tal y como se refl</w:t>
      </w:r>
      <w:r w:rsidR="00B9509E">
        <w:rPr>
          <w:rFonts w:ascii="Arial" w:hAnsi="Arial" w:cs="Arial"/>
          <w:bCs/>
          <w:lang w:eastAsia="es-ES"/>
        </w:rPr>
        <w:t>eja en el apartado 2 del artículo 20</w:t>
      </w:r>
      <w:r>
        <w:rPr>
          <w:rFonts w:ascii="Arial" w:hAnsi="Arial" w:cs="Arial"/>
          <w:bCs/>
          <w:lang w:eastAsia="es-ES"/>
        </w:rPr>
        <w:t xml:space="preserve"> de</w:t>
      </w:r>
      <w:r w:rsidR="00B40719">
        <w:rPr>
          <w:rFonts w:ascii="Arial" w:hAnsi="Arial" w:cs="Arial"/>
          <w:bCs/>
          <w:lang w:eastAsia="es-ES"/>
        </w:rPr>
        <w:t>l</w:t>
      </w:r>
      <w:r>
        <w:rPr>
          <w:rFonts w:ascii="Arial" w:hAnsi="Arial" w:cs="Arial"/>
          <w:bCs/>
          <w:lang w:eastAsia="es-ES"/>
        </w:rPr>
        <w:t xml:space="preserve"> </w:t>
      </w:r>
      <w:r w:rsidR="00B9509E" w:rsidRPr="00B9509E">
        <w:rPr>
          <w:rFonts w:ascii="Arial" w:hAnsi="Arial" w:cs="Arial"/>
          <w:bCs/>
          <w:lang w:eastAsia="es-ES"/>
        </w:rPr>
        <w:t>Decreto n.º 196/2022, d</w:t>
      </w:r>
      <w:r w:rsidR="00B9509E">
        <w:rPr>
          <w:rFonts w:ascii="Arial" w:hAnsi="Arial" w:cs="Arial"/>
          <w:bCs/>
          <w:lang w:eastAsia="es-ES"/>
        </w:rPr>
        <w:t xml:space="preserve">e 3 de noviembre, por el que se </w:t>
      </w:r>
      <w:r w:rsidR="00B9509E" w:rsidRPr="00B9509E">
        <w:rPr>
          <w:rFonts w:ascii="Arial" w:hAnsi="Arial" w:cs="Arial"/>
          <w:bCs/>
          <w:lang w:eastAsia="es-ES"/>
        </w:rPr>
        <w:t>establece el currículo de la et</w:t>
      </w:r>
      <w:r w:rsidR="00B9509E">
        <w:rPr>
          <w:rFonts w:ascii="Arial" w:hAnsi="Arial" w:cs="Arial"/>
          <w:bCs/>
          <w:lang w:eastAsia="es-ES"/>
        </w:rPr>
        <w:t xml:space="preserve">apa de Educación Infantil en la </w:t>
      </w:r>
      <w:r w:rsidR="00B9509E" w:rsidRPr="00B9509E">
        <w:rPr>
          <w:rFonts w:ascii="Arial" w:hAnsi="Arial" w:cs="Arial"/>
          <w:bCs/>
          <w:lang w:eastAsia="es-ES"/>
        </w:rPr>
        <w:t xml:space="preserve">Comunidad </w:t>
      </w:r>
      <w:r w:rsidR="00B9509E">
        <w:rPr>
          <w:rFonts w:ascii="Arial" w:hAnsi="Arial" w:cs="Arial"/>
          <w:bCs/>
          <w:lang w:eastAsia="es-ES"/>
        </w:rPr>
        <w:t>Autónoma de la Región de Murcia</w:t>
      </w:r>
      <w:r>
        <w:rPr>
          <w:rFonts w:ascii="Arial" w:hAnsi="Arial" w:cs="Arial"/>
          <w:bCs/>
          <w:lang w:eastAsia="es-ES"/>
        </w:rPr>
        <w:t>, l</w:t>
      </w:r>
      <w:r w:rsidR="00B9509E" w:rsidRPr="00B9509E">
        <w:rPr>
          <w:rFonts w:ascii="Arial" w:hAnsi="Arial" w:cs="Arial"/>
          <w:bCs/>
          <w:lang w:eastAsia="es-ES"/>
        </w:rPr>
        <w:t>a propuesta pedagógica de la etapa s</w:t>
      </w:r>
      <w:r w:rsidR="00B9509E">
        <w:rPr>
          <w:rFonts w:ascii="Arial" w:hAnsi="Arial" w:cs="Arial"/>
          <w:bCs/>
          <w:lang w:eastAsia="es-ES"/>
        </w:rPr>
        <w:t xml:space="preserve">erá aprobada por el Claustro de </w:t>
      </w:r>
      <w:r w:rsidR="00B9509E" w:rsidRPr="00B9509E">
        <w:rPr>
          <w:rFonts w:ascii="Arial" w:hAnsi="Arial" w:cs="Arial"/>
          <w:bCs/>
          <w:lang w:eastAsia="es-ES"/>
        </w:rPr>
        <w:t>profesores e incluirá, al menos:</w:t>
      </w:r>
    </w:p>
    <w:p w14:paraId="2A402BE5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La adecuación de los objetivos generales al contexto del centro.</w:t>
      </w:r>
    </w:p>
    <w:p w14:paraId="36A30B2F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Los criterios para desarrollar los principios pedagógicos e incorporar los elementos transversales.</w:t>
      </w:r>
    </w:p>
    <w:p w14:paraId="461A8615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Los criterios de carácter general sobre la metodología.</w:t>
      </w:r>
    </w:p>
    <w:p w14:paraId="5BE0ACD7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Las medidas de coordinación entre primer y segundo ciclo de Educación</w:t>
      </w:r>
      <w:r>
        <w:rPr>
          <w:rFonts w:ascii="Arial" w:hAnsi="Arial" w:cs="Arial"/>
          <w:bCs/>
          <w:lang w:eastAsia="es-ES"/>
        </w:rPr>
        <w:t xml:space="preserve"> </w:t>
      </w:r>
      <w:r w:rsidRPr="00B9509E">
        <w:rPr>
          <w:rFonts w:ascii="Arial" w:hAnsi="Arial" w:cs="Arial"/>
          <w:bCs/>
          <w:lang w:eastAsia="es-ES"/>
        </w:rPr>
        <w:t>Infantil, así como con el primer ciclo de la etapa de Educación Primaria.</w:t>
      </w:r>
    </w:p>
    <w:p w14:paraId="3E62F247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Las medidas de coordinación entre los maestros que imparten docencia en</w:t>
      </w:r>
      <w:r>
        <w:rPr>
          <w:rFonts w:ascii="Arial" w:hAnsi="Arial" w:cs="Arial"/>
          <w:bCs/>
          <w:lang w:eastAsia="es-ES"/>
        </w:rPr>
        <w:t xml:space="preserve"> </w:t>
      </w:r>
      <w:r w:rsidRPr="00B9509E">
        <w:rPr>
          <w:rFonts w:ascii="Arial" w:hAnsi="Arial" w:cs="Arial"/>
          <w:bCs/>
          <w:lang w:eastAsia="es-ES"/>
        </w:rPr>
        <w:t>el mismo curso y ciclo de la etapa.</w:t>
      </w:r>
    </w:p>
    <w:p w14:paraId="770026B2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Los criterios generales para la coordinación de los distintos profesionales</w:t>
      </w:r>
      <w:r>
        <w:rPr>
          <w:rFonts w:ascii="Arial" w:hAnsi="Arial" w:cs="Arial"/>
          <w:bCs/>
          <w:lang w:eastAsia="es-ES"/>
        </w:rPr>
        <w:t xml:space="preserve"> </w:t>
      </w:r>
      <w:r w:rsidRPr="00B9509E">
        <w:rPr>
          <w:rFonts w:ascii="Arial" w:hAnsi="Arial" w:cs="Arial"/>
          <w:bCs/>
          <w:lang w:eastAsia="es-ES"/>
        </w:rPr>
        <w:t>que intervienen en el centro educativo.</w:t>
      </w:r>
    </w:p>
    <w:p w14:paraId="73248778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Los criterios de carácter general sobre los materiales y los recursos</w:t>
      </w:r>
      <w:r>
        <w:rPr>
          <w:rFonts w:ascii="Arial" w:hAnsi="Arial" w:cs="Arial"/>
          <w:bCs/>
          <w:lang w:eastAsia="es-ES"/>
        </w:rPr>
        <w:t xml:space="preserve"> </w:t>
      </w:r>
      <w:r w:rsidRPr="00B9509E">
        <w:rPr>
          <w:rFonts w:ascii="Arial" w:hAnsi="Arial" w:cs="Arial"/>
          <w:bCs/>
          <w:lang w:eastAsia="es-ES"/>
        </w:rPr>
        <w:t>didácticos.</w:t>
      </w:r>
    </w:p>
    <w:p w14:paraId="765045F6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Los criterios para establecer la oferta educativa.</w:t>
      </w:r>
    </w:p>
    <w:p w14:paraId="7A0655BC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Los criterios para el diseño de las actividades complementarias y</w:t>
      </w:r>
      <w:r>
        <w:rPr>
          <w:rFonts w:ascii="Arial" w:hAnsi="Arial" w:cs="Arial"/>
          <w:bCs/>
          <w:lang w:eastAsia="es-ES"/>
        </w:rPr>
        <w:t xml:space="preserve"> </w:t>
      </w:r>
      <w:r w:rsidRPr="00B9509E">
        <w:rPr>
          <w:rFonts w:ascii="Arial" w:hAnsi="Arial" w:cs="Arial"/>
          <w:bCs/>
          <w:lang w:eastAsia="es-ES"/>
        </w:rPr>
        <w:t>extraescolares.</w:t>
      </w:r>
    </w:p>
    <w:p w14:paraId="468CE7E3" w14:textId="356799B0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Los criterios para la participación del centro en proyectos, planes y</w:t>
      </w:r>
      <w:r>
        <w:rPr>
          <w:rFonts w:ascii="Arial" w:hAnsi="Arial" w:cs="Arial"/>
          <w:bCs/>
          <w:lang w:eastAsia="es-ES"/>
        </w:rPr>
        <w:t xml:space="preserve"> programas.</w:t>
      </w:r>
    </w:p>
    <w:p w14:paraId="325834E1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Los criterios generales de evaluación de los aprendizajes.</w:t>
      </w:r>
    </w:p>
    <w:p w14:paraId="674ED83A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Los criterios para el diseño de medidas de refuerzo y atención al alumnado</w:t>
      </w:r>
      <w:r>
        <w:rPr>
          <w:rFonts w:ascii="Arial" w:hAnsi="Arial" w:cs="Arial"/>
          <w:bCs/>
          <w:lang w:eastAsia="es-ES"/>
        </w:rPr>
        <w:t xml:space="preserve"> </w:t>
      </w:r>
      <w:r w:rsidRPr="00B9509E">
        <w:rPr>
          <w:rFonts w:ascii="Arial" w:hAnsi="Arial" w:cs="Arial"/>
          <w:bCs/>
          <w:lang w:eastAsia="es-ES"/>
        </w:rPr>
        <w:t>con necesidades específicas de apoyo educativo.</w:t>
      </w:r>
    </w:p>
    <w:p w14:paraId="1B89A596" w14:textId="77777777" w:rsid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Las actuaciones previstas para la colaboración permanente con las</w:t>
      </w:r>
      <w:r>
        <w:rPr>
          <w:rFonts w:ascii="Arial" w:hAnsi="Arial" w:cs="Arial"/>
          <w:bCs/>
          <w:lang w:eastAsia="es-ES"/>
        </w:rPr>
        <w:t xml:space="preserve"> </w:t>
      </w:r>
      <w:r w:rsidRPr="00B9509E">
        <w:rPr>
          <w:rFonts w:ascii="Arial" w:hAnsi="Arial" w:cs="Arial"/>
          <w:bCs/>
          <w:lang w:eastAsia="es-ES"/>
        </w:rPr>
        <w:t>familias.</w:t>
      </w:r>
    </w:p>
    <w:p w14:paraId="3A4FF2DF" w14:textId="0AA23467" w:rsidR="00B9509E" w:rsidRPr="00B9509E" w:rsidRDefault="00B9509E" w:rsidP="00B9509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B9509E">
        <w:rPr>
          <w:rFonts w:ascii="Arial" w:hAnsi="Arial" w:cs="Arial"/>
          <w:bCs/>
          <w:lang w:eastAsia="es-ES"/>
        </w:rPr>
        <w:t>Las decisiones y los criterios generales para la elaboración de las programaciones docentes.</w:t>
      </w:r>
    </w:p>
    <w:p w14:paraId="36FF8C89" w14:textId="70E3CA8D" w:rsidR="00B9509E" w:rsidRPr="00250B7B" w:rsidRDefault="00B9509E" w:rsidP="00B9509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Asimismo, el apartado 3 del citado artículo, dispone que, s</w:t>
      </w:r>
      <w:r w:rsidRPr="00B9509E">
        <w:rPr>
          <w:rFonts w:ascii="Arial" w:hAnsi="Arial" w:cs="Arial"/>
          <w:bCs/>
          <w:lang w:eastAsia="es-ES"/>
        </w:rPr>
        <w:t>iguiendo las directrices generales cita</w:t>
      </w:r>
      <w:r>
        <w:rPr>
          <w:rFonts w:ascii="Arial" w:hAnsi="Arial" w:cs="Arial"/>
          <w:bCs/>
          <w:lang w:eastAsia="es-ES"/>
        </w:rPr>
        <w:t xml:space="preserve">das en el apartado anterior, se </w:t>
      </w:r>
      <w:r w:rsidRPr="00B9509E">
        <w:rPr>
          <w:rFonts w:ascii="Arial" w:hAnsi="Arial" w:cs="Arial"/>
          <w:bCs/>
          <w:lang w:eastAsia="es-ES"/>
        </w:rPr>
        <w:t>elaborarán las programaciones docentes, que formarán parte de la propuest</w:t>
      </w:r>
      <w:r>
        <w:rPr>
          <w:rFonts w:ascii="Arial" w:hAnsi="Arial" w:cs="Arial"/>
          <w:bCs/>
          <w:lang w:eastAsia="es-ES"/>
        </w:rPr>
        <w:t xml:space="preserve">a </w:t>
      </w:r>
      <w:r w:rsidRPr="00B9509E">
        <w:rPr>
          <w:rFonts w:ascii="Arial" w:hAnsi="Arial" w:cs="Arial"/>
          <w:bCs/>
          <w:lang w:eastAsia="es-ES"/>
        </w:rPr>
        <w:t>pedagógica.</w:t>
      </w:r>
    </w:p>
    <w:p w14:paraId="4BBBADA2" w14:textId="30C2CC1E" w:rsidR="007109A3" w:rsidRPr="002321D7" w:rsidRDefault="007109A3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19E437FB" w14:textId="136FB4DD" w:rsidR="003E377D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LA ADECUACIÓN DE LOS OBJETIVOS GENERALES AL CONTEXTO DEL CENTRO</w:t>
      </w:r>
    </w:p>
    <w:p w14:paraId="72542C13" w14:textId="222BC3B9" w:rsidR="003E377D" w:rsidRPr="002321D7" w:rsidRDefault="003E377D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7E1B0C13" w14:textId="77777777" w:rsidR="002321D7" w:rsidRPr="002321D7" w:rsidRDefault="002321D7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2394831D" w14:textId="4F1F837E" w:rsidR="003E377D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LOS CRITERIOS PARA DESARROLLAR LOS PRINCIPIOS PEDAGÓGICOS E INCORPORAR ELEMENTOS TRANSVERSALES</w:t>
      </w:r>
    </w:p>
    <w:p w14:paraId="7E8069DB" w14:textId="1F69EEF8" w:rsidR="003E377D" w:rsidRPr="002321D7" w:rsidRDefault="003E377D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6EAB3C4C" w14:textId="77777777" w:rsidR="002321D7" w:rsidRPr="002321D7" w:rsidRDefault="002321D7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3E017609" w14:textId="774922BA" w:rsidR="003E377D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LOS CRITERIOS DE CARÁCTER GENERAL SOBRE LA METODOLOGÍA</w:t>
      </w:r>
    </w:p>
    <w:p w14:paraId="372339A0" w14:textId="5B0C10FA" w:rsidR="003F49B9" w:rsidRPr="002321D7" w:rsidRDefault="003F49B9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78F42693" w14:textId="7B6E7892" w:rsidR="003F49B9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lastRenderedPageBreak/>
        <w:t>LAS MEDIDAS DE COORDINACIÓN ENTRE PRIMER Y SEGU</w:t>
      </w:r>
      <w:r w:rsidR="00E9146A">
        <w:rPr>
          <w:rStyle w:val="Hipervnculo"/>
          <w:rFonts w:ascii="Arial" w:hAnsi="Arial" w:cs="Arial"/>
          <w:b/>
          <w:color w:val="auto"/>
          <w:u w:val="none"/>
        </w:rPr>
        <w:t>NDO CICLO DE EDUCACIÓN INFANTIL, ASI COMO CON EL PRIMER CICLO DE EDUCACIÓN PRIMARIA</w:t>
      </w:r>
    </w:p>
    <w:p w14:paraId="3C70A401" w14:textId="5BBFE737" w:rsidR="003F49B9" w:rsidRPr="002321D7" w:rsidRDefault="003F49B9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0A19B966" w14:textId="15A33B1A" w:rsidR="00E9146A" w:rsidRPr="003E377D" w:rsidRDefault="00E9146A" w:rsidP="00E9146A">
      <w:pPr>
        <w:ind w:firstLine="360"/>
        <w:jc w:val="both"/>
        <w:rPr>
          <w:rFonts w:ascii="Arial" w:hAnsi="Arial" w:cs="Arial"/>
          <w:bCs/>
        </w:rPr>
      </w:pPr>
      <w:r w:rsidRPr="003E377D">
        <w:rPr>
          <w:rFonts w:ascii="Arial" w:hAnsi="Arial" w:cs="Arial"/>
          <w:bCs/>
        </w:rPr>
        <w:t>Las medidas de</w:t>
      </w:r>
      <w:r>
        <w:rPr>
          <w:rFonts w:ascii="Arial" w:hAnsi="Arial" w:cs="Arial"/>
          <w:bCs/>
        </w:rPr>
        <w:t xml:space="preserve"> coordinación entre el primer y el segundo ciclo de Educación Infantil</w:t>
      </w:r>
      <w:r w:rsidRPr="003E377D">
        <w:rPr>
          <w:rFonts w:ascii="Arial" w:hAnsi="Arial" w:cs="Arial"/>
          <w:bCs/>
        </w:rPr>
        <w:t xml:space="preserve"> son:</w:t>
      </w:r>
    </w:p>
    <w:p w14:paraId="17EA2937" w14:textId="77777777" w:rsidR="00E9146A" w:rsidRDefault="00E9146A" w:rsidP="00E9146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</w:p>
    <w:p w14:paraId="1690E7CF" w14:textId="78A0053E" w:rsidR="004019C8" w:rsidRPr="003E377D" w:rsidRDefault="004019C8" w:rsidP="004019C8">
      <w:pPr>
        <w:ind w:firstLine="360"/>
        <w:jc w:val="both"/>
        <w:rPr>
          <w:rFonts w:ascii="Arial" w:hAnsi="Arial" w:cs="Arial"/>
          <w:bCs/>
        </w:rPr>
      </w:pPr>
      <w:r w:rsidRPr="003E377D">
        <w:rPr>
          <w:rFonts w:ascii="Arial" w:hAnsi="Arial" w:cs="Arial"/>
          <w:bCs/>
        </w:rPr>
        <w:t xml:space="preserve">Las medidas de </w:t>
      </w:r>
      <w:r w:rsidR="007A6583">
        <w:rPr>
          <w:rFonts w:ascii="Arial" w:hAnsi="Arial" w:cs="Arial"/>
          <w:bCs/>
        </w:rPr>
        <w:t>coordinación entre</w:t>
      </w:r>
      <w:r w:rsidRPr="003E377D">
        <w:rPr>
          <w:rFonts w:ascii="Arial" w:hAnsi="Arial" w:cs="Arial"/>
          <w:bCs/>
        </w:rPr>
        <w:t xml:space="preserve"> Educación Infantil y </w:t>
      </w:r>
      <w:r w:rsidR="00E9146A">
        <w:rPr>
          <w:rFonts w:ascii="Arial" w:hAnsi="Arial" w:cs="Arial"/>
          <w:bCs/>
        </w:rPr>
        <w:t xml:space="preserve">el primer ciclo de </w:t>
      </w:r>
      <w:r w:rsidRPr="003E377D">
        <w:rPr>
          <w:rFonts w:ascii="Arial" w:hAnsi="Arial" w:cs="Arial"/>
          <w:bCs/>
        </w:rPr>
        <w:t>Educa</w:t>
      </w:r>
      <w:r w:rsidR="00E9146A">
        <w:rPr>
          <w:rFonts w:ascii="Arial" w:hAnsi="Arial" w:cs="Arial"/>
          <w:bCs/>
        </w:rPr>
        <w:t>ción Primaria son</w:t>
      </w:r>
      <w:r w:rsidRPr="003E377D">
        <w:rPr>
          <w:rFonts w:ascii="Arial" w:hAnsi="Arial" w:cs="Arial"/>
          <w:bCs/>
        </w:rPr>
        <w:t>:</w:t>
      </w:r>
    </w:p>
    <w:p w14:paraId="50199B48" w14:textId="77777777" w:rsidR="004019C8" w:rsidRPr="003E377D" w:rsidRDefault="004019C8" w:rsidP="004019C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</w:p>
    <w:p w14:paraId="2708C597" w14:textId="77777777" w:rsidR="004019C8" w:rsidRPr="002321D7" w:rsidRDefault="004019C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74AAA34C" w14:textId="59C28A95" w:rsidR="003F49B9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LAS MEDIDAS DE COORDINACIÓN ENTRE LOS MAESTROS QUE IMPAR</w:t>
      </w:r>
      <w:r w:rsidR="00E9146A">
        <w:rPr>
          <w:rStyle w:val="Hipervnculo"/>
          <w:rFonts w:ascii="Arial" w:hAnsi="Arial" w:cs="Arial"/>
          <w:b/>
          <w:color w:val="auto"/>
          <w:u w:val="none"/>
        </w:rPr>
        <w:t>TEN DOCENCIA EN EL MISMO CURSO Y</w:t>
      </w:r>
      <w:r w:rsidRPr="002321D7">
        <w:rPr>
          <w:rStyle w:val="Hipervnculo"/>
          <w:rFonts w:ascii="Arial" w:hAnsi="Arial" w:cs="Arial"/>
          <w:b/>
          <w:color w:val="auto"/>
          <w:u w:val="none"/>
        </w:rPr>
        <w:t xml:space="preserve"> CI</w:t>
      </w:r>
      <w:r w:rsidR="00E9146A">
        <w:rPr>
          <w:rStyle w:val="Hipervnculo"/>
          <w:rFonts w:ascii="Arial" w:hAnsi="Arial" w:cs="Arial"/>
          <w:b/>
          <w:color w:val="auto"/>
          <w:u w:val="none"/>
        </w:rPr>
        <w:t>CLO DE LA ETAPA</w:t>
      </w:r>
    </w:p>
    <w:p w14:paraId="41394443" w14:textId="73DF5C12" w:rsidR="003F49B9" w:rsidRPr="002321D7" w:rsidRDefault="003F49B9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73FDE29C" w14:textId="77777777" w:rsidR="00E9146A" w:rsidRDefault="00E9146A" w:rsidP="00E9146A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medidas de coordinación entre los maestros que imparten docencia en el mismo curso son:</w:t>
      </w:r>
    </w:p>
    <w:p w14:paraId="6DEB6A9D" w14:textId="77777777" w:rsidR="00E9146A" w:rsidRDefault="00E9146A" w:rsidP="00E9146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</w:p>
    <w:p w14:paraId="3F2B69A6" w14:textId="4B4559B4" w:rsidR="00F30A3D" w:rsidRDefault="00F30A3D" w:rsidP="00F30A3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medidas de coordinación entre los mae</w:t>
      </w:r>
      <w:r w:rsidR="00E9146A">
        <w:rPr>
          <w:rFonts w:ascii="Arial" w:hAnsi="Arial" w:cs="Arial"/>
          <w:bCs/>
        </w:rPr>
        <w:t>stros que imparten docencia en el mismo ciclo</w:t>
      </w:r>
      <w:r>
        <w:rPr>
          <w:rFonts w:ascii="Arial" w:hAnsi="Arial" w:cs="Arial"/>
          <w:bCs/>
        </w:rPr>
        <w:t xml:space="preserve"> son:</w:t>
      </w:r>
    </w:p>
    <w:p w14:paraId="7F80C943" w14:textId="77777777" w:rsidR="00F30A3D" w:rsidRDefault="00F30A3D" w:rsidP="00F30A3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</w:p>
    <w:p w14:paraId="5ADC0EDB" w14:textId="4732D7BA" w:rsidR="004019C8" w:rsidRPr="002321D7" w:rsidRDefault="004019C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2F68E9EA" w14:textId="12FEE884" w:rsidR="001A41BF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LOS CRITERIOS GENERALES PARA LA COORDINACIÓN DE LOS DISTINTOS PROFESIONALES QUE INTERVIENEN EN EL</w:t>
      </w:r>
      <w:r w:rsidR="00E9146A">
        <w:rPr>
          <w:rStyle w:val="Hipervnculo"/>
          <w:rFonts w:ascii="Arial" w:hAnsi="Arial" w:cs="Arial"/>
          <w:b/>
          <w:color w:val="auto"/>
          <w:u w:val="none"/>
        </w:rPr>
        <w:t xml:space="preserve"> CENTRO EDUCATIVO</w:t>
      </w:r>
    </w:p>
    <w:p w14:paraId="19962D76" w14:textId="036DF8F6" w:rsidR="001A41BF" w:rsidRPr="002321D7" w:rsidRDefault="001A41BF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020ABEA4" w14:textId="77777777" w:rsidR="002321D7" w:rsidRPr="002321D7" w:rsidRDefault="002321D7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714039CB" w14:textId="77777777" w:rsidR="002321D7" w:rsidRPr="002321D7" w:rsidRDefault="002321D7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2CF4997C" w14:textId="52598B71" w:rsidR="001A41BF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LOS CRITERIOS DE CARÁCTER GENERAL SOBRE LOS MATERIALES Y RECURSOS DIDÁCTICOS</w:t>
      </w:r>
    </w:p>
    <w:p w14:paraId="7FF77A77" w14:textId="54222D47" w:rsidR="001A41BF" w:rsidRDefault="001A41BF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42503A7C" w14:textId="77777777" w:rsidR="00AC4E68" w:rsidRPr="002321D7" w:rsidRDefault="00AC4E6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3E2FD4FC" w14:textId="59CBC56E" w:rsidR="001A41BF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LOS CRITERIOS PARA ESTABLECER LA OFERTA EDUCATIVA</w:t>
      </w:r>
    </w:p>
    <w:p w14:paraId="4DAA9279" w14:textId="3C349866" w:rsidR="001A41BF" w:rsidRDefault="001A41BF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1AE072F4" w14:textId="77777777" w:rsidR="00AC4E68" w:rsidRPr="002321D7" w:rsidRDefault="00AC4E6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48C75127" w14:textId="15F33DE2" w:rsidR="001A41BF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LOS CRITERIOS PARA EL DISEÑO DE LAS ACTIVIDADES COMPLEMENTARIAS Y EXTRAESCOLARES</w:t>
      </w:r>
    </w:p>
    <w:p w14:paraId="4386E480" w14:textId="28F8CB1B" w:rsidR="001A41BF" w:rsidRDefault="001A41BF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2FA6AE31" w14:textId="77777777" w:rsidR="00AC4E68" w:rsidRPr="002321D7" w:rsidRDefault="00AC4E6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6B94A505" w14:textId="1200F862" w:rsidR="001A41BF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LOS CRITERIOS PARA LA PARTICIPACIÓN DEL CENTRO EN PROYECTOS, PLANES Y PROGRAMAS</w:t>
      </w:r>
    </w:p>
    <w:p w14:paraId="485272BD" w14:textId="1E0893BB" w:rsidR="001A41BF" w:rsidRDefault="001A41BF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28756671" w14:textId="77777777" w:rsidR="00AC4E68" w:rsidRPr="002321D7" w:rsidRDefault="00AC4E6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4A1822F5" w14:textId="768DFE0A" w:rsidR="001A41BF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LOS CRITERIOS GENERALES DE E</w:t>
      </w:r>
      <w:r w:rsidR="00E9146A">
        <w:rPr>
          <w:rStyle w:val="Hipervnculo"/>
          <w:rFonts w:ascii="Arial" w:hAnsi="Arial" w:cs="Arial"/>
          <w:b/>
          <w:color w:val="auto"/>
          <w:u w:val="none"/>
        </w:rPr>
        <w:t>VALUACIÓN DE APRENDIZAJES</w:t>
      </w:r>
    </w:p>
    <w:p w14:paraId="33649499" w14:textId="74DF11FF" w:rsidR="001A41BF" w:rsidRPr="002321D7" w:rsidRDefault="001A41BF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3AE7D252" w14:textId="77777777" w:rsidR="00AC4E68" w:rsidRPr="002321D7" w:rsidRDefault="00AC4E6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2CC26351" w14:textId="7384208C" w:rsidR="001A41BF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LOS CRITERIOS PARA EL DISEÑO DE MEDIDAS DE REFUERZO Y DE ATENCIÓN AL ALUMNADO CON NECESIDADES ESPECÍFICAS DE APOYO EDUCATIVO</w:t>
      </w:r>
    </w:p>
    <w:p w14:paraId="13B16A2A" w14:textId="77777777" w:rsidR="004019C8" w:rsidRDefault="004019C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6A7C6263" w14:textId="77777777" w:rsidR="00AC4E68" w:rsidRPr="002321D7" w:rsidRDefault="00AC4E6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544FD7B6" w14:textId="1EA21699" w:rsidR="003F49B9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LAS ACTUACIONES PREVISTAS PARA LA COLABORACIÓN PERMANENTE CON LAS FAMILIAS</w:t>
      </w:r>
    </w:p>
    <w:p w14:paraId="73F5C805" w14:textId="370767CB" w:rsidR="004019C8" w:rsidRDefault="004019C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40D75E8F" w14:textId="77777777" w:rsidR="00AC4E68" w:rsidRPr="002321D7" w:rsidRDefault="00AC4E6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3225B9E1" w14:textId="45EE6656" w:rsidR="004019C8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LAS DECISIONES Y LOS CRITERIOS GENERALES PARA LA ELABORACIÓN DE LAS PROGRAMACIONES DOCENTES</w:t>
      </w:r>
    </w:p>
    <w:p w14:paraId="20D03B17" w14:textId="6868E35A" w:rsidR="004019C8" w:rsidRDefault="004019C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215371B0" w14:textId="77777777" w:rsidR="00AC4E68" w:rsidRPr="002321D7" w:rsidRDefault="00AC4E68" w:rsidP="00250B7B">
      <w:pPr>
        <w:ind w:firstLine="360"/>
        <w:jc w:val="both"/>
        <w:rPr>
          <w:rFonts w:ascii="Arial" w:hAnsi="Arial" w:cs="Arial"/>
          <w:b/>
          <w:bCs/>
        </w:rPr>
      </w:pPr>
    </w:p>
    <w:p w14:paraId="4E9BA08B" w14:textId="5DA77827" w:rsidR="00664BE0" w:rsidRPr="002321D7" w:rsidRDefault="002321D7" w:rsidP="002321D7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2321D7">
        <w:rPr>
          <w:rStyle w:val="Hipervnculo"/>
          <w:rFonts w:ascii="Arial" w:hAnsi="Arial" w:cs="Arial"/>
          <w:b/>
          <w:color w:val="auto"/>
          <w:u w:val="none"/>
        </w:rPr>
        <w:t>LAS PROGRAMACIONES DOCENTES</w:t>
      </w:r>
    </w:p>
    <w:p w14:paraId="546DBE30" w14:textId="77777777" w:rsidR="009D25E0" w:rsidRDefault="002321D7" w:rsidP="003F54A6">
      <w:pPr>
        <w:ind w:firstLine="709"/>
        <w:jc w:val="both"/>
        <w:rPr>
          <w:rFonts w:ascii="Arial" w:hAnsi="Arial" w:cs="Arial"/>
          <w:b/>
          <w:bCs/>
        </w:rPr>
      </w:pPr>
      <w:r w:rsidRPr="002321D7">
        <w:rPr>
          <w:rFonts w:ascii="Arial" w:hAnsi="Arial" w:cs="Arial"/>
          <w:b/>
          <w:bCs/>
        </w:rPr>
        <w:tab/>
      </w:r>
    </w:p>
    <w:p w14:paraId="46A0A662" w14:textId="11261BFF" w:rsidR="003F54A6" w:rsidRDefault="003F54A6" w:rsidP="003F54A6">
      <w:pPr>
        <w:ind w:firstLine="709"/>
        <w:jc w:val="both"/>
        <w:rPr>
          <w:rFonts w:ascii="Arial" w:hAnsi="Arial" w:cs="Arial"/>
          <w:bCs/>
        </w:rPr>
      </w:pPr>
      <w:bookmarkStart w:id="2" w:name="_GoBack"/>
      <w:bookmarkEnd w:id="2"/>
      <w:r>
        <w:rPr>
          <w:rFonts w:ascii="Arial" w:hAnsi="Arial" w:cs="Arial"/>
          <w:bCs/>
        </w:rPr>
        <w:t>Este documento tiene una ubicación externa para reducir la extensión de la PGA. Para acceder,</w:t>
      </w:r>
    </w:p>
    <w:p w14:paraId="1C1BCFCD" w14:textId="2A3AE2A6" w:rsidR="003F54A6" w:rsidRPr="002321D7" w:rsidRDefault="003F54A6" w:rsidP="002321D7">
      <w:pPr>
        <w:ind w:firstLine="709"/>
        <w:jc w:val="both"/>
        <w:rPr>
          <w:rFonts w:ascii="Arial" w:hAnsi="Arial" w:cs="Arial"/>
          <w:b/>
          <w:bCs/>
          <w:color w:val="FF0000"/>
        </w:rPr>
      </w:pPr>
      <w:r w:rsidRPr="002321D7">
        <w:rPr>
          <w:rFonts w:ascii="Arial" w:hAnsi="Arial" w:cs="Arial"/>
          <w:b/>
          <w:bCs/>
          <w:color w:val="FF0000"/>
        </w:rPr>
        <w:t>Además de esa ubicación externa a la que estén vinculados, estos planes, programas y proyectos deben alojarse en “Documentos del Centro” de Plumier XXI para garantizar la integridad, autenticidad, confidencialidad, calidad, protección y conservación de estos documentos (artículo 46.3 de la Ley 40/2015, de 1 de octubre).</w:t>
      </w:r>
    </w:p>
    <w:sectPr w:rsidR="003F54A6" w:rsidRPr="002321D7" w:rsidSect="00475766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EB7F3" w14:textId="77777777" w:rsidR="007A1A6B" w:rsidRDefault="007A1A6B" w:rsidP="004875A0">
      <w:pPr>
        <w:spacing w:after="0" w:line="240" w:lineRule="auto"/>
      </w:pPr>
      <w:r>
        <w:separator/>
      </w:r>
    </w:p>
  </w:endnote>
  <w:endnote w:type="continuationSeparator" w:id="0">
    <w:p w14:paraId="2D964D17" w14:textId="77777777" w:rsidR="007A1A6B" w:rsidRDefault="007A1A6B" w:rsidP="0048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099109"/>
      <w:docPartObj>
        <w:docPartGallery w:val="Page Numbers (Bottom of Page)"/>
        <w:docPartUnique/>
      </w:docPartObj>
    </w:sdtPr>
    <w:sdtEndPr/>
    <w:sdtContent>
      <w:p w14:paraId="2247B56A" w14:textId="77777777" w:rsidR="001C69EC" w:rsidRDefault="001C69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E0">
          <w:rPr>
            <w:noProof/>
          </w:rPr>
          <w:t>1</w:t>
        </w:r>
        <w:r>
          <w:fldChar w:fldCharType="end"/>
        </w:r>
      </w:p>
    </w:sdtContent>
  </w:sdt>
  <w:p w14:paraId="34077435" w14:textId="77777777" w:rsidR="001C69EC" w:rsidRDefault="001C69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D2003" w14:textId="77777777" w:rsidR="007A1A6B" w:rsidRDefault="007A1A6B" w:rsidP="004875A0">
      <w:pPr>
        <w:spacing w:after="0" w:line="240" w:lineRule="auto"/>
      </w:pPr>
      <w:r>
        <w:separator/>
      </w:r>
    </w:p>
  </w:footnote>
  <w:footnote w:type="continuationSeparator" w:id="0">
    <w:p w14:paraId="6818AF48" w14:textId="77777777" w:rsidR="007A1A6B" w:rsidRDefault="007A1A6B" w:rsidP="0048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3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3272"/>
      <w:gridCol w:w="1594"/>
      <w:gridCol w:w="521"/>
      <w:gridCol w:w="4248"/>
    </w:tblGrid>
    <w:tr w:rsidR="001C69EC" w14:paraId="73083F98" w14:textId="77777777" w:rsidTr="002321D7">
      <w:trPr>
        <w:trHeight w:val="1412"/>
      </w:trPr>
      <w:tc>
        <w:tcPr>
          <w:tcW w:w="997" w:type="dxa"/>
        </w:tcPr>
        <w:p w14:paraId="44879375" w14:textId="69FC1CA1" w:rsidR="001C69EC" w:rsidRDefault="001C69EC" w:rsidP="0054553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7E34461" wp14:editId="47DE5495">
                <wp:extent cx="475699" cy="861774"/>
                <wp:effectExtent l="0" t="0" r="63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074" cy="878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dxa"/>
          <w:vAlign w:val="center"/>
        </w:tcPr>
        <w:p w14:paraId="731CF5DD" w14:textId="77777777" w:rsidR="001C69EC" w:rsidRPr="001C69EC" w:rsidRDefault="001C69EC" w:rsidP="001C69EC">
          <w:pPr>
            <w:pStyle w:val="Encabezado"/>
            <w:rPr>
              <w:b/>
              <w:sz w:val="20"/>
              <w:szCs w:val="20"/>
            </w:rPr>
          </w:pPr>
          <w:r w:rsidRPr="001C69EC">
            <w:rPr>
              <w:b/>
              <w:sz w:val="20"/>
              <w:szCs w:val="20"/>
            </w:rPr>
            <w:t>Región de Murcia</w:t>
          </w:r>
        </w:p>
        <w:p w14:paraId="2A30E064" w14:textId="71EFE213" w:rsidR="001C69EC" w:rsidRPr="004875A0" w:rsidRDefault="001C69EC" w:rsidP="001C69EC">
          <w:pPr>
            <w:pStyle w:val="Encabezado"/>
            <w:rPr>
              <w:b/>
            </w:rPr>
          </w:pPr>
          <w:r w:rsidRPr="001C69EC">
            <w:rPr>
              <w:b/>
              <w:sz w:val="20"/>
              <w:szCs w:val="20"/>
            </w:rPr>
            <w:t>Consejería de Educación</w:t>
          </w:r>
        </w:p>
      </w:tc>
      <w:tc>
        <w:tcPr>
          <w:tcW w:w="1594" w:type="dxa"/>
          <w:vAlign w:val="center"/>
        </w:tcPr>
        <w:p w14:paraId="2030C752" w14:textId="75932CF6" w:rsidR="001C69EC" w:rsidRPr="004875A0" w:rsidRDefault="001C69EC" w:rsidP="0054553C">
          <w:pPr>
            <w:pStyle w:val="Encabezado"/>
            <w:jc w:val="center"/>
            <w:rPr>
              <w:b/>
            </w:rPr>
          </w:pPr>
        </w:p>
      </w:tc>
      <w:tc>
        <w:tcPr>
          <w:tcW w:w="521" w:type="dxa"/>
          <w:vAlign w:val="center"/>
        </w:tcPr>
        <w:p w14:paraId="0A5B6A23" w14:textId="1912E51F" w:rsidR="001C69EC" w:rsidRPr="004875A0" w:rsidRDefault="001C69EC" w:rsidP="0054553C">
          <w:pPr>
            <w:pStyle w:val="Encabezado"/>
            <w:rPr>
              <w:b/>
            </w:rPr>
          </w:pPr>
        </w:p>
      </w:tc>
      <w:tc>
        <w:tcPr>
          <w:tcW w:w="4248" w:type="dxa"/>
        </w:tcPr>
        <w:p w14:paraId="13896A6D" w14:textId="1EE3C3AD" w:rsidR="001C69EC" w:rsidRPr="004875A0" w:rsidRDefault="002321D7" w:rsidP="0054553C">
          <w:pPr>
            <w:pStyle w:val="Encabezado"/>
            <w:rPr>
              <w:b/>
            </w:rPr>
          </w:pPr>
          <w:r>
            <w:rPr>
              <w:b/>
            </w:rPr>
            <w:t>Propuesta pedagógica de Educación Infantil</w:t>
          </w:r>
        </w:p>
        <w:p w14:paraId="19C49A23" w14:textId="16D38BD3" w:rsidR="001C69EC" w:rsidRPr="006F3745" w:rsidRDefault="001C69EC" w:rsidP="0054553C">
          <w:pPr>
            <w:pStyle w:val="Encabezado"/>
          </w:pPr>
          <w:r w:rsidRPr="006F3745">
            <w:t>Curso 20__/20__</w:t>
          </w:r>
          <w:r>
            <w:t>.</w:t>
          </w:r>
        </w:p>
        <w:p w14:paraId="204E1083" w14:textId="77777777" w:rsidR="001C69EC" w:rsidRPr="006F3745" w:rsidRDefault="001C69EC" w:rsidP="0054553C">
          <w:pPr>
            <w:pStyle w:val="Encabezado"/>
          </w:pPr>
          <w:r w:rsidRPr="006F3745">
            <w:t>Centro educativo:</w:t>
          </w:r>
        </w:p>
        <w:p w14:paraId="046C84C6" w14:textId="58147DB8" w:rsidR="001C69EC" w:rsidRPr="006F3745" w:rsidRDefault="001C69EC" w:rsidP="0054553C">
          <w:pPr>
            <w:pStyle w:val="Encabezado"/>
          </w:pPr>
          <w:r w:rsidRPr="006F3745">
            <w:t>Código de centro:</w:t>
          </w:r>
        </w:p>
        <w:p w14:paraId="68B7ECE7" w14:textId="22D94659" w:rsidR="001C69EC" w:rsidRDefault="001C69EC" w:rsidP="00A44631">
          <w:pPr>
            <w:pStyle w:val="Encabezado"/>
          </w:pPr>
          <w:r w:rsidRPr="006F3745">
            <w:t>Localidad:</w:t>
          </w:r>
        </w:p>
      </w:tc>
    </w:tr>
  </w:tbl>
  <w:p w14:paraId="3C431001" w14:textId="3911197E" w:rsidR="001C69EC" w:rsidRDefault="001C69EC" w:rsidP="005455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4DA"/>
    <w:multiLevelType w:val="hybridMultilevel"/>
    <w:tmpl w:val="A080B764"/>
    <w:lvl w:ilvl="0" w:tplc="6672A6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90C"/>
    <w:multiLevelType w:val="hybridMultilevel"/>
    <w:tmpl w:val="4AAC0D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E0A"/>
    <w:multiLevelType w:val="multilevel"/>
    <w:tmpl w:val="01126AB2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20F93076"/>
    <w:multiLevelType w:val="hybridMultilevel"/>
    <w:tmpl w:val="4FC48A3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71AA"/>
    <w:multiLevelType w:val="hybridMultilevel"/>
    <w:tmpl w:val="C7FA5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273F"/>
    <w:multiLevelType w:val="multilevel"/>
    <w:tmpl w:val="5C98C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6" w15:restartNumberingAfterBreak="0">
    <w:nsid w:val="3E5B6C30"/>
    <w:multiLevelType w:val="hybridMultilevel"/>
    <w:tmpl w:val="1AE05AE4"/>
    <w:lvl w:ilvl="0" w:tplc="C3A8A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6A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A0647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8E3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257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38C5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32E0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4266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1897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6333A"/>
    <w:multiLevelType w:val="hybridMultilevel"/>
    <w:tmpl w:val="3A7859EE"/>
    <w:lvl w:ilvl="0" w:tplc="13B2E3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7C76"/>
    <w:multiLevelType w:val="hybridMultilevel"/>
    <w:tmpl w:val="4B3EE358"/>
    <w:lvl w:ilvl="0" w:tplc="FE4A1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F41690"/>
    <w:multiLevelType w:val="multilevel"/>
    <w:tmpl w:val="5E0436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0" w15:restartNumberingAfterBreak="0">
    <w:nsid w:val="7A751EAB"/>
    <w:multiLevelType w:val="hybridMultilevel"/>
    <w:tmpl w:val="889439C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715A5E"/>
    <w:multiLevelType w:val="multilevel"/>
    <w:tmpl w:val="3360478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7D7F329D"/>
    <w:multiLevelType w:val="multilevel"/>
    <w:tmpl w:val="703C15D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7DFB5C78"/>
    <w:multiLevelType w:val="hybridMultilevel"/>
    <w:tmpl w:val="EB0CD94A"/>
    <w:lvl w:ilvl="0" w:tplc="88F6D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6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0"/>
    <w:rsid w:val="00065B85"/>
    <w:rsid w:val="00065D93"/>
    <w:rsid w:val="00094663"/>
    <w:rsid w:val="000B677F"/>
    <w:rsid w:val="00162BF4"/>
    <w:rsid w:val="00191717"/>
    <w:rsid w:val="001A41BF"/>
    <w:rsid w:val="001C69EC"/>
    <w:rsid w:val="0022110F"/>
    <w:rsid w:val="002321D7"/>
    <w:rsid w:val="002354BD"/>
    <w:rsid w:val="00250B7B"/>
    <w:rsid w:val="00272545"/>
    <w:rsid w:val="00273D7C"/>
    <w:rsid w:val="002763DC"/>
    <w:rsid w:val="00276779"/>
    <w:rsid w:val="002877BA"/>
    <w:rsid w:val="0029607C"/>
    <w:rsid w:val="002B07C0"/>
    <w:rsid w:val="00300E87"/>
    <w:rsid w:val="00304935"/>
    <w:rsid w:val="0032209A"/>
    <w:rsid w:val="00332EAD"/>
    <w:rsid w:val="00341136"/>
    <w:rsid w:val="003B00A5"/>
    <w:rsid w:val="003B6696"/>
    <w:rsid w:val="003B6EC0"/>
    <w:rsid w:val="003C5E15"/>
    <w:rsid w:val="003D27E8"/>
    <w:rsid w:val="003D411D"/>
    <w:rsid w:val="003E377D"/>
    <w:rsid w:val="003F2A89"/>
    <w:rsid w:val="003F49B9"/>
    <w:rsid w:val="003F54A6"/>
    <w:rsid w:val="003F7A4F"/>
    <w:rsid w:val="004019C8"/>
    <w:rsid w:val="00420DB9"/>
    <w:rsid w:val="004442B3"/>
    <w:rsid w:val="004548D3"/>
    <w:rsid w:val="00475766"/>
    <w:rsid w:val="004875A0"/>
    <w:rsid w:val="004F1F27"/>
    <w:rsid w:val="00505556"/>
    <w:rsid w:val="0054553C"/>
    <w:rsid w:val="0054587F"/>
    <w:rsid w:val="005867D9"/>
    <w:rsid w:val="005D4EEB"/>
    <w:rsid w:val="005D768E"/>
    <w:rsid w:val="00653512"/>
    <w:rsid w:val="00657C04"/>
    <w:rsid w:val="00663E09"/>
    <w:rsid w:val="00664BE0"/>
    <w:rsid w:val="006B1658"/>
    <w:rsid w:val="006D5588"/>
    <w:rsid w:val="006F3745"/>
    <w:rsid w:val="0070098F"/>
    <w:rsid w:val="007109A3"/>
    <w:rsid w:val="00737D5B"/>
    <w:rsid w:val="007432E3"/>
    <w:rsid w:val="00762FB5"/>
    <w:rsid w:val="007907FF"/>
    <w:rsid w:val="007A130A"/>
    <w:rsid w:val="007A1A6B"/>
    <w:rsid w:val="007A6583"/>
    <w:rsid w:val="007A7201"/>
    <w:rsid w:val="007E1239"/>
    <w:rsid w:val="00824EC1"/>
    <w:rsid w:val="008252A6"/>
    <w:rsid w:val="00860D8C"/>
    <w:rsid w:val="008877B2"/>
    <w:rsid w:val="008F23C4"/>
    <w:rsid w:val="00922016"/>
    <w:rsid w:val="00941092"/>
    <w:rsid w:val="00965AFE"/>
    <w:rsid w:val="009661ED"/>
    <w:rsid w:val="009A6DA0"/>
    <w:rsid w:val="009D25E0"/>
    <w:rsid w:val="00A06B5A"/>
    <w:rsid w:val="00A346C2"/>
    <w:rsid w:val="00A42E34"/>
    <w:rsid w:val="00A44631"/>
    <w:rsid w:val="00A9206A"/>
    <w:rsid w:val="00AC4E68"/>
    <w:rsid w:val="00B13731"/>
    <w:rsid w:val="00B27E69"/>
    <w:rsid w:val="00B40719"/>
    <w:rsid w:val="00B9509E"/>
    <w:rsid w:val="00BD2235"/>
    <w:rsid w:val="00BD3889"/>
    <w:rsid w:val="00C00605"/>
    <w:rsid w:val="00C412ED"/>
    <w:rsid w:val="00C61062"/>
    <w:rsid w:val="00C80BCC"/>
    <w:rsid w:val="00C859C7"/>
    <w:rsid w:val="00C929D3"/>
    <w:rsid w:val="00CB4B31"/>
    <w:rsid w:val="00CD1E5E"/>
    <w:rsid w:val="00D24B62"/>
    <w:rsid w:val="00D53F45"/>
    <w:rsid w:val="00DE3FC5"/>
    <w:rsid w:val="00E468A3"/>
    <w:rsid w:val="00E56DFE"/>
    <w:rsid w:val="00E875CF"/>
    <w:rsid w:val="00E9146A"/>
    <w:rsid w:val="00F147B7"/>
    <w:rsid w:val="00F147F0"/>
    <w:rsid w:val="00F20A2E"/>
    <w:rsid w:val="00F229D1"/>
    <w:rsid w:val="00F30A3D"/>
    <w:rsid w:val="00F46601"/>
    <w:rsid w:val="00F56D59"/>
    <w:rsid w:val="00F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398E"/>
  <w15:chartTrackingRefBased/>
  <w15:docId w15:val="{99A8EFFD-01A3-4340-B0B4-BE4F6D9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 Car7"/>
    <w:basedOn w:val="Normal"/>
    <w:link w:val="EncabezadoCar"/>
    <w:unhideWhenUsed/>
    <w:rsid w:val="00487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7 Car"/>
    <w:basedOn w:val="Fuentedeprrafopredeter"/>
    <w:link w:val="Encabezado"/>
    <w:rsid w:val="004875A0"/>
  </w:style>
  <w:style w:type="paragraph" w:styleId="Piedepgina">
    <w:name w:val="footer"/>
    <w:basedOn w:val="Normal"/>
    <w:link w:val="PiedepginaCar"/>
    <w:uiPriority w:val="99"/>
    <w:unhideWhenUsed/>
    <w:rsid w:val="00487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5A0"/>
  </w:style>
  <w:style w:type="paragraph" w:styleId="Textonotapie">
    <w:name w:val="footnote text"/>
    <w:basedOn w:val="Normal"/>
    <w:link w:val="TextonotapieCar"/>
    <w:semiHidden/>
    <w:rsid w:val="0074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7432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semiHidden/>
    <w:rsid w:val="007432E3"/>
    <w:rPr>
      <w:vertAlign w:val="superscript"/>
    </w:rPr>
  </w:style>
  <w:style w:type="paragraph" w:styleId="NormalWeb">
    <w:name w:val="Normal (Web)"/>
    <w:basedOn w:val="Normal"/>
    <w:uiPriority w:val="99"/>
    <w:rsid w:val="0074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7432E3"/>
    <w:rPr>
      <w:color w:val="0000FF"/>
      <w:u w:val="single"/>
    </w:rPr>
  </w:style>
  <w:style w:type="character" w:styleId="Textoennegrita">
    <w:name w:val="Strong"/>
    <w:qFormat/>
    <w:rsid w:val="00250B7B"/>
    <w:rPr>
      <w:b/>
      <w:bCs/>
    </w:rPr>
  </w:style>
  <w:style w:type="paragraph" w:styleId="Prrafodelista">
    <w:name w:val="List Paragraph"/>
    <w:basedOn w:val="Normal"/>
    <w:uiPriority w:val="34"/>
    <w:qFormat/>
    <w:rsid w:val="00F1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E99D-6B4F-40DE-9F6C-5DE13D6A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RODRIGUEZ, LUIS JOSE</dc:creator>
  <cp:keywords/>
  <dc:description/>
  <cp:lastModifiedBy>GOMEZ RODRIGUEZ, LUIS JOSE</cp:lastModifiedBy>
  <cp:revision>44</cp:revision>
  <dcterms:created xsi:type="dcterms:W3CDTF">2022-06-20T11:02:00Z</dcterms:created>
  <dcterms:modified xsi:type="dcterms:W3CDTF">2022-11-09T10:57:00Z</dcterms:modified>
</cp:coreProperties>
</file>