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41D" w:rsidRPr="00EB4EEC" w:rsidRDefault="00EB4EEC" w:rsidP="00EB4EEC">
      <w:pPr>
        <w:autoSpaceDE w:val="0"/>
        <w:autoSpaceDN w:val="0"/>
        <w:adjustRightInd w:val="0"/>
        <w:jc w:val="center"/>
        <w:rPr>
          <w:rFonts w:ascii="Arial" w:hAnsi="Arial" w:cs="Arial"/>
          <w:b/>
          <w:color w:val="000000"/>
        </w:rPr>
      </w:pPr>
      <w:bookmarkStart w:id="0" w:name="_GoBack"/>
      <w:bookmarkEnd w:id="0"/>
      <w:r w:rsidRPr="00EB4EEC">
        <w:rPr>
          <w:rFonts w:ascii="Arial" w:hAnsi="Arial" w:cs="Arial"/>
          <w:b/>
          <w:color w:val="000000"/>
        </w:rPr>
        <w:t>DEPARTAMENTOS</w:t>
      </w:r>
    </w:p>
    <w:p w:rsidR="008F6432" w:rsidRDefault="0099341D" w:rsidP="001A5464">
      <w:pPr>
        <w:pStyle w:val="Pa11"/>
        <w:spacing w:before="220" w:after="143"/>
        <w:ind w:hanging="340"/>
        <w:jc w:val="both"/>
        <w:rPr>
          <w:rFonts w:cs="Arial"/>
          <w:b/>
          <w:color w:val="000000"/>
          <w:sz w:val="20"/>
          <w:szCs w:val="20"/>
        </w:rPr>
      </w:pPr>
      <w:r w:rsidRPr="0099341D">
        <w:rPr>
          <w:rFonts w:cs="Arial"/>
          <w:color w:val="000000"/>
        </w:rPr>
        <w:t xml:space="preserve"> </w:t>
      </w:r>
      <w:r w:rsidRPr="0099341D">
        <w:rPr>
          <w:rFonts w:cs="Arial"/>
          <w:i/>
          <w:iCs/>
          <w:color w:val="000000"/>
          <w:sz w:val="20"/>
          <w:szCs w:val="20"/>
        </w:rPr>
        <w:t>Resolución de 25 de mayo de 2015, de la Subsecretaría, por la que se publica el Convenio de colaboración entre el Servicio Público de Empleo Estatal, el Ministerio de Educación, Cultura y Deporte y la Comunidad Autónoma de la Región de Murcia, para la calificación del Centro de Referencia Nacional en el área profesional Ganadería de la familia profesional Agraria en el ámbito de la formación profesional.</w:t>
      </w:r>
    </w:p>
    <w:p w:rsidR="008F6432" w:rsidRDefault="008F6432" w:rsidP="001A5464">
      <w:pPr>
        <w:pStyle w:val="Pa11"/>
        <w:spacing w:before="220" w:after="143"/>
        <w:ind w:hanging="340"/>
        <w:jc w:val="both"/>
        <w:rPr>
          <w:rFonts w:cs="Arial"/>
          <w:b/>
          <w:color w:val="000000"/>
          <w:sz w:val="20"/>
          <w:szCs w:val="20"/>
        </w:rPr>
      </w:pPr>
    </w:p>
    <w:p w:rsidR="001A5464" w:rsidRPr="00562191" w:rsidRDefault="00562191" w:rsidP="001A5464">
      <w:pPr>
        <w:pStyle w:val="Pa11"/>
        <w:spacing w:before="220" w:after="143"/>
        <w:ind w:hanging="340"/>
        <w:jc w:val="both"/>
        <w:rPr>
          <w:rFonts w:cs="Arial"/>
          <w:b/>
          <w:color w:val="000000"/>
          <w:sz w:val="20"/>
          <w:szCs w:val="20"/>
        </w:rPr>
      </w:pPr>
      <w:r w:rsidRPr="00562191">
        <w:rPr>
          <w:rFonts w:cs="Arial"/>
          <w:b/>
          <w:color w:val="000000"/>
          <w:sz w:val="20"/>
          <w:szCs w:val="20"/>
        </w:rPr>
        <w:t xml:space="preserve">Cláusula </w:t>
      </w:r>
      <w:r w:rsidR="001A5464" w:rsidRPr="00562191">
        <w:rPr>
          <w:rFonts w:cs="Arial"/>
          <w:b/>
          <w:color w:val="000000"/>
          <w:sz w:val="20"/>
          <w:szCs w:val="20"/>
        </w:rPr>
        <w:t xml:space="preserve">Octava. </w:t>
      </w:r>
      <w:r w:rsidR="001A5464" w:rsidRPr="00562191">
        <w:rPr>
          <w:rFonts w:cs="Arial"/>
          <w:b/>
          <w:i/>
          <w:iCs/>
          <w:color w:val="000000"/>
          <w:sz w:val="20"/>
          <w:szCs w:val="20"/>
        </w:rPr>
        <w:t>Organización.</w:t>
      </w:r>
    </w:p>
    <w:p w:rsidR="001A5464" w:rsidRDefault="001A5464" w:rsidP="001A5464">
      <w:pPr>
        <w:pStyle w:val="Pa6"/>
        <w:ind w:firstLine="340"/>
        <w:jc w:val="both"/>
        <w:rPr>
          <w:rFonts w:cs="Arial"/>
          <w:color w:val="000000"/>
          <w:sz w:val="20"/>
          <w:szCs w:val="20"/>
        </w:rPr>
      </w:pPr>
      <w:r w:rsidRPr="00562191">
        <w:rPr>
          <w:rFonts w:cs="Arial"/>
          <w:b/>
          <w:color w:val="000000"/>
          <w:sz w:val="20"/>
          <w:szCs w:val="20"/>
        </w:rPr>
        <w:t>La estructura del Centro de Referencia Nacional de Ganadería</w:t>
      </w:r>
      <w:r>
        <w:rPr>
          <w:rFonts w:cs="Arial"/>
          <w:color w:val="000000"/>
          <w:sz w:val="20"/>
          <w:szCs w:val="20"/>
        </w:rPr>
        <w:t xml:space="preserve">, estará constituida al menos, por la dirección, la secretaría y los departamentos o unidades que dan respuesta a las funciones encomendadas al Centro, en relación con las familias o áreas profesionales especificadas en la segunda cláusula establecida en </w:t>
      </w:r>
      <w:r w:rsidR="00562191">
        <w:rPr>
          <w:rFonts w:cs="Arial"/>
          <w:color w:val="000000"/>
          <w:sz w:val="20"/>
          <w:szCs w:val="20"/>
        </w:rPr>
        <w:t xml:space="preserve">el </w:t>
      </w:r>
      <w:r>
        <w:rPr>
          <w:rFonts w:cs="Arial"/>
          <w:color w:val="000000"/>
          <w:sz w:val="20"/>
          <w:szCs w:val="20"/>
        </w:rPr>
        <w:t>convenio.</w:t>
      </w:r>
    </w:p>
    <w:p w:rsidR="001A5464" w:rsidRDefault="001A5464" w:rsidP="001A5464">
      <w:pPr>
        <w:pStyle w:val="Pa7"/>
        <w:spacing w:before="160"/>
        <w:ind w:firstLine="340"/>
        <w:jc w:val="both"/>
        <w:rPr>
          <w:rFonts w:cs="Arial"/>
          <w:color w:val="000000"/>
          <w:sz w:val="20"/>
          <w:szCs w:val="20"/>
        </w:rPr>
      </w:pPr>
      <w:r w:rsidRPr="00C405E4">
        <w:rPr>
          <w:rFonts w:cs="Arial"/>
          <w:i/>
          <w:color w:val="000000"/>
          <w:sz w:val="20"/>
          <w:szCs w:val="20"/>
        </w:rPr>
        <w:t>1. Director</w:t>
      </w:r>
      <w:r w:rsidR="00562191">
        <w:rPr>
          <w:rFonts w:cs="Arial"/>
          <w:color w:val="000000"/>
          <w:sz w:val="20"/>
          <w:szCs w:val="20"/>
        </w:rPr>
        <w:t xml:space="preserve"> </w:t>
      </w:r>
      <w:r w:rsidR="00562191" w:rsidRPr="00562191">
        <w:rPr>
          <w:rFonts w:cs="Arial"/>
          <w:b/>
          <w:color w:val="000000"/>
          <w:sz w:val="20"/>
          <w:szCs w:val="20"/>
        </w:rPr>
        <w:t xml:space="preserve">D. Antonio </w:t>
      </w:r>
      <w:smartTag w:uri="urn:schemas-microsoft-com:office:smarttags" w:element="PersonName">
        <w:smartTagPr>
          <w:attr w:name="ProductID" w:val="Jos￩ Hern￡ndez Cop￩"/>
        </w:smartTagPr>
        <w:r w:rsidR="00562191" w:rsidRPr="00562191">
          <w:rPr>
            <w:rFonts w:cs="Arial"/>
            <w:b/>
            <w:color w:val="000000"/>
            <w:sz w:val="20"/>
            <w:szCs w:val="20"/>
          </w:rPr>
          <w:t>José Hernández Copé</w:t>
        </w:r>
      </w:smartTag>
      <w:r w:rsidR="00562191">
        <w:rPr>
          <w:rFonts w:cs="Arial"/>
          <w:b/>
          <w:color w:val="000000"/>
          <w:sz w:val="20"/>
          <w:szCs w:val="20"/>
        </w:rPr>
        <w:t>,</w:t>
      </w:r>
      <w:r>
        <w:rPr>
          <w:rFonts w:cs="Arial"/>
          <w:color w:val="000000"/>
          <w:sz w:val="20"/>
          <w:szCs w:val="20"/>
        </w:rPr>
        <w:t xml:space="preserve"> con las siguientes funciones:</w:t>
      </w:r>
    </w:p>
    <w:p w:rsidR="001A5464" w:rsidRDefault="001A5464" w:rsidP="001A5464">
      <w:pPr>
        <w:pStyle w:val="Pa7"/>
        <w:spacing w:before="160"/>
        <w:ind w:firstLine="340"/>
        <w:jc w:val="both"/>
        <w:rPr>
          <w:rFonts w:cs="Arial"/>
          <w:color w:val="000000"/>
          <w:sz w:val="20"/>
          <w:szCs w:val="20"/>
        </w:rPr>
      </w:pPr>
      <w:r>
        <w:rPr>
          <w:rFonts w:cs="Arial"/>
          <w:color w:val="000000"/>
          <w:sz w:val="20"/>
          <w:szCs w:val="20"/>
        </w:rPr>
        <w:t>a) Dirigir y coordinar las actividades de los planes de trabajo anuales y ostentar la representación del Centro como Centro de Referencia Nacional.</w:t>
      </w:r>
    </w:p>
    <w:p w:rsidR="001A5464" w:rsidRDefault="001A5464" w:rsidP="001A5464">
      <w:pPr>
        <w:pStyle w:val="Pa6"/>
        <w:ind w:firstLine="340"/>
        <w:jc w:val="both"/>
        <w:rPr>
          <w:rFonts w:cs="Arial"/>
          <w:color w:val="000000"/>
          <w:sz w:val="20"/>
          <w:szCs w:val="20"/>
        </w:rPr>
      </w:pPr>
      <w:r>
        <w:rPr>
          <w:rFonts w:cs="Arial"/>
          <w:color w:val="000000"/>
          <w:sz w:val="20"/>
          <w:szCs w:val="20"/>
        </w:rPr>
        <w:t>b) Proponer a la Administración competente el nombramiento y, en su caso, el cese del secretario y de los responsables de los diferentes departamentos, una vez oído el Consejo Social.</w:t>
      </w:r>
    </w:p>
    <w:p w:rsidR="001A5464" w:rsidRDefault="001A5464" w:rsidP="001A5464">
      <w:pPr>
        <w:pStyle w:val="Pa6"/>
        <w:ind w:firstLine="340"/>
        <w:jc w:val="both"/>
        <w:rPr>
          <w:rFonts w:cs="Arial"/>
          <w:color w:val="000000"/>
          <w:sz w:val="20"/>
          <w:szCs w:val="20"/>
        </w:rPr>
      </w:pPr>
      <w:r>
        <w:rPr>
          <w:rFonts w:cs="Arial"/>
          <w:color w:val="000000"/>
          <w:sz w:val="20"/>
          <w:szCs w:val="20"/>
        </w:rPr>
        <w:t>c) Dirigir y coordinar la elaboración del plan de trabajo anual del Centro y de la memoria de actividades.</w:t>
      </w:r>
    </w:p>
    <w:p w:rsidR="001A5464" w:rsidRDefault="001A5464" w:rsidP="001A5464">
      <w:pPr>
        <w:pStyle w:val="Pa6"/>
        <w:ind w:firstLine="340"/>
        <w:jc w:val="both"/>
        <w:rPr>
          <w:rFonts w:cs="Arial"/>
          <w:color w:val="000000"/>
          <w:sz w:val="20"/>
          <w:szCs w:val="20"/>
        </w:rPr>
      </w:pPr>
      <w:r>
        <w:rPr>
          <w:rFonts w:cs="Arial"/>
          <w:color w:val="000000"/>
          <w:sz w:val="20"/>
          <w:szCs w:val="20"/>
        </w:rPr>
        <w:t>d) Ejercer la jefatura de personal adscrito al Centro para desarrollar las funciones como Centro de Referencia Nacional y adoptar las resoluciones disciplinarias que correspondan de acuerdo con las normas aplicables.</w:t>
      </w:r>
    </w:p>
    <w:p w:rsidR="001A5464" w:rsidRDefault="001A5464" w:rsidP="001A5464">
      <w:pPr>
        <w:pStyle w:val="Pa6"/>
        <w:ind w:firstLine="340"/>
        <w:jc w:val="both"/>
        <w:rPr>
          <w:rFonts w:cs="Arial"/>
          <w:color w:val="000000"/>
          <w:sz w:val="20"/>
          <w:szCs w:val="20"/>
        </w:rPr>
      </w:pPr>
      <w:r>
        <w:rPr>
          <w:rFonts w:cs="Arial"/>
          <w:color w:val="000000"/>
          <w:sz w:val="20"/>
          <w:szCs w:val="20"/>
        </w:rPr>
        <w:t>e) Proponer acuerdos y convenios de colaboración, previa aprobación del Consejo Social, con empresas, entidades y otras Administraciones.</w:t>
      </w:r>
    </w:p>
    <w:p w:rsidR="001A5464" w:rsidRDefault="001A5464" w:rsidP="001A5464">
      <w:pPr>
        <w:pStyle w:val="Pa6"/>
        <w:ind w:firstLine="340"/>
        <w:jc w:val="both"/>
        <w:rPr>
          <w:rFonts w:cs="Arial"/>
          <w:color w:val="000000"/>
          <w:sz w:val="20"/>
          <w:szCs w:val="20"/>
        </w:rPr>
      </w:pPr>
      <w:r>
        <w:rPr>
          <w:rFonts w:cs="Arial"/>
          <w:color w:val="000000"/>
          <w:sz w:val="20"/>
          <w:szCs w:val="20"/>
        </w:rPr>
        <w:t>f) Cualesquiera otras que les sean encomendadas por la Administración competente relativas al desarrollo y ejecución del plan de trabajo, en el marco de la autonomía organizativa, pedagógica y de gestión económica de los Centros, de acuerdo con lo establecido en la normativa propia de cada Administración.</w:t>
      </w:r>
    </w:p>
    <w:p w:rsidR="001A5464" w:rsidRDefault="001A5464" w:rsidP="001A5464">
      <w:pPr>
        <w:pStyle w:val="Pa7"/>
        <w:spacing w:before="160"/>
        <w:ind w:firstLine="340"/>
        <w:jc w:val="both"/>
        <w:rPr>
          <w:rFonts w:cs="Arial"/>
          <w:color w:val="000000"/>
          <w:sz w:val="20"/>
          <w:szCs w:val="20"/>
        </w:rPr>
      </w:pPr>
      <w:r w:rsidRPr="00C405E4">
        <w:rPr>
          <w:rFonts w:cs="Arial"/>
          <w:i/>
          <w:color w:val="000000"/>
          <w:sz w:val="20"/>
          <w:szCs w:val="20"/>
        </w:rPr>
        <w:t>2. Secretario</w:t>
      </w:r>
      <w:r w:rsidR="00562191">
        <w:rPr>
          <w:rFonts w:cs="Arial"/>
          <w:color w:val="000000"/>
          <w:sz w:val="20"/>
          <w:szCs w:val="20"/>
        </w:rPr>
        <w:t xml:space="preserve"> </w:t>
      </w:r>
      <w:r w:rsidR="00562191" w:rsidRPr="00562191">
        <w:rPr>
          <w:rFonts w:cs="Arial"/>
          <w:b/>
          <w:color w:val="000000"/>
          <w:sz w:val="20"/>
          <w:szCs w:val="20"/>
        </w:rPr>
        <w:t xml:space="preserve">D. </w:t>
      </w:r>
      <w:smartTag w:uri="urn:schemas-microsoft-com:office:smarttags" w:element="PersonName">
        <w:smartTagPr>
          <w:attr w:name="ProductID" w:val="Francisco Ruiz"/>
        </w:smartTagPr>
        <w:r w:rsidR="00562191" w:rsidRPr="00562191">
          <w:rPr>
            <w:rFonts w:cs="Arial"/>
            <w:b/>
            <w:color w:val="000000"/>
            <w:sz w:val="20"/>
            <w:szCs w:val="20"/>
          </w:rPr>
          <w:t>Francisco Ruiz</w:t>
        </w:r>
      </w:smartTag>
      <w:r w:rsidR="00562191" w:rsidRPr="00562191">
        <w:rPr>
          <w:rFonts w:cs="Arial"/>
          <w:b/>
          <w:color w:val="000000"/>
          <w:sz w:val="20"/>
          <w:szCs w:val="20"/>
        </w:rPr>
        <w:t xml:space="preserve"> </w:t>
      </w:r>
      <w:proofErr w:type="spellStart"/>
      <w:r w:rsidR="00562191" w:rsidRPr="00562191">
        <w:rPr>
          <w:rFonts w:cs="Arial"/>
          <w:b/>
          <w:color w:val="000000"/>
          <w:sz w:val="20"/>
          <w:szCs w:val="20"/>
        </w:rPr>
        <w:t>Alviar</w:t>
      </w:r>
      <w:proofErr w:type="spellEnd"/>
      <w:r w:rsidR="00562191">
        <w:rPr>
          <w:rFonts w:cs="Arial"/>
          <w:color w:val="000000"/>
          <w:sz w:val="20"/>
          <w:szCs w:val="20"/>
        </w:rPr>
        <w:t>,</w:t>
      </w:r>
      <w:r>
        <w:rPr>
          <w:rFonts w:cs="Arial"/>
          <w:color w:val="000000"/>
          <w:sz w:val="20"/>
          <w:szCs w:val="20"/>
        </w:rPr>
        <w:t xml:space="preserve"> con las siguientes funciones:</w:t>
      </w:r>
    </w:p>
    <w:p w:rsidR="001A5464" w:rsidRDefault="001A5464" w:rsidP="001A5464">
      <w:pPr>
        <w:pStyle w:val="Pa7"/>
        <w:spacing w:before="160"/>
        <w:ind w:firstLine="340"/>
        <w:jc w:val="both"/>
        <w:rPr>
          <w:rFonts w:cs="Arial"/>
          <w:color w:val="000000"/>
          <w:sz w:val="20"/>
          <w:szCs w:val="20"/>
        </w:rPr>
      </w:pPr>
      <w:r>
        <w:rPr>
          <w:rFonts w:cs="Arial"/>
          <w:color w:val="000000"/>
          <w:sz w:val="20"/>
          <w:szCs w:val="20"/>
        </w:rPr>
        <w:t>g) Elaborar el anteproyecto de presupuesto del Centro correspondiente al plan de trabajo propuesto.</w:t>
      </w:r>
    </w:p>
    <w:p w:rsidR="001A5464" w:rsidRDefault="001A5464" w:rsidP="001A5464">
      <w:pPr>
        <w:pStyle w:val="Pa6"/>
        <w:ind w:firstLine="340"/>
        <w:jc w:val="both"/>
        <w:rPr>
          <w:rFonts w:cs="Arial"/>
          <w:color w:val="000000"/>
          <w:sz w:val="20"/>
          <w:szCs w:val="20"/>
        </w:rPr>
      </w:pPr>
      <w:r>
        <w:rPr>
          <w:rFonts w:cs="Arial"/>
          <w:color w:val="000000"/>
          <w:sz w:val="20"/>
          <w:szCs w:val="20"/>
        </w:rPr>
        <w:t>h) Actuar como secretario/a del consejo social del Centro y levantar acta de las sesiones.</w:t>
      </w:r>
    </w:p>
    <w:p w:rsidR="001A5464" w:rsidRDefault="001A5464" w:rsidP="001A5464">
      <w:pPr>
        <w:pStyle w:val="Pa6"/>
        <w:ind w:firstLine="340"/>
        <w:jc w:val="both"/>
        <w:rPr>
          <w:rFonts w:cs="Arial"/>
          <w:color w:val="000000"/>
          <w:sz w:val="20"/>
          <w:szCs w:val="20"/>
        </w:rPr>
      </w:pPr>
      <w:r>
        <w:rPr>
          <w:rFonts w:cs="Arial"/>
          <w:color w:val="000000"/>
          <w:sz w:val="20"/>
          <w:szCs w:val="20"/>
        </w:rPr>
        <w:t>i) Custodiar las actas, libros y archivos del Centro y expedir, con el visto bueno del titular de la dirección, las certificaciones que soliciten las autoridades y personas interesadas que estén relacionados con sus funciones como Centro de Referencia Nacional.</w:t>
      </w:r>
    </w:p>
    <w:p w:rsidR="001A5464" w:rsidRDefault="001A5464" w:rsidP="001A5464">
      <w:pPr>
        <w:pStyle w:val="Pa6"/>
        <w:ind w:firstLine="340"/>
        <w:jc w:val="both"/>
        <w:rPr>
          <w:rFonts w:cs="Arial"/>
          <w:color w:val="000000"/>
          <w:sz w:val="20"/>
          <w:szCs w:val="20"/>
        </w:rPr>
      </w:pPr>
      <w:r>
        <w:rPr>
          <w:rFonts w:cs="Arial"/>
          <w:color w:val="000000"/>
          <w:sz w:val="20"/>
          <w:szCs w:val="20"/>
        </w:rPr>
        <w:t>j) Realizar el inventario del Centro para desarrollar sus funciones como Centro de Referencia Nacional.</w:t>
      </w:r>
    </w:p>
    <w:p w:rsidR="001A5464" w:rsidRDefault="001A5464" w:rsidP="001A5464">
      <w:pPr>
        <w:pStyle w:val="Pa6"/>
        <w:ind w:firstLine="340"/>
        <w:jc w:val="both"/>
        <w:rPr>
          <w:rFonts w:cs="Arial"/>
          <w:color w:val="000000"/>
          <w:sz w:val="20"/>
          <w:szCs w:val="20"/>
        </w:rPr>
      </w:pPr>
      <w:r>
        <w:rPr>
          <w:rFonts w:cs="Arial"/>
          <w:color w:val="000000"/>
          <w:sz w:val="20"/>
          <w:szCs w:val="20"/>
        </w:rPr>
        <w:t>k) Cualesquiera otras que les sean encomendadas por la Administración competente, relativas al desarrollo y ejecución del plan de trabajo, en el marco de la autonomía organizativa, pedagógica y de gestión económica de los Centros, de acuerdo con lo establecido en la normativa propia de cada Administración.</w:t>
      </w:r>
    </w:p>
    <w:p w:rsidR="001A5464" w:rsidRPr="00C405E4" w:rsidRDefault="001A5464" w:rsidP="001A5464">
      <w:pPr>
        <w:pStyle w:val="Pa7"/>
        <w:spacing w:before="160"/>
        <w:ind w:firstLine="340"/>
        <w:jc w:val="both"/>
        <w:rPr>
          <w:rFonts w:cs="Arial"/>
          <w:i/>
          <w:color w:val="000000"/>
          <w:sz w:val="20"/>
          <w:szCs w:val="20"/>
        </w:rPr>
      </w:pPr>
      <w:r w:rsidRPr="00C405E4">
        <w:rPr>
          <w:rFonts w:cs="Arial"/>
          <w:i/>
          <w:color w:val="000000"/>
          <w:sz w:val="20"/>
          <w:szCs w:val="20"/>
        </w:rPr>
        <w:t>3. El Centro de Referencia Nacional de Ganadería estará constituido por los siguientes Departamentos, los cuales realizarán las funciones que a continuación se indican:</w:t>
      </w:r>
    </w:p>
    <w:p w:rsidR="00C405E4" w:rsidRDefault="001A5464" w:rsidP="00C405E4">
      <w:pPr>
        <w:pStyle w:val="Pa7"/>
        <w:spacing w:before="160"/>
        <w:ind w:firstLine="340"/>
        <w:jc w:val="both"/>
        <w:rPr>
          <w:rFonts w:cs="Arial"/>
          <w:color w:val="000000"/>
          <w:sz w:val="20"/>
          <w:szCs w:val="20"/>
        </w:rPr>
      </w:pPr>
      <w:r w:rsidRPr="00C405E4">
        <w:rPr>
          <w:rFonts w:cs="Arial"/>
          <w:i/>
          <w:color w:val="000000"/>
          <w:sz w:val="20"/>
          <w:szCs w:val="20"/>
        </w:rPr>
        <w:t xml:space="preserve">3.1 Departamento de Observación e Investigación, </w:t>
      </w:r>
      <w:r w:rsidR="00562191" w:rsidRPr="00C405E4">
        <w:rPr>
          <w:rFonts w:cs="Arial"/>
          <w:i/>
          <w:color w:val="000000"/>
          <w:sz w:val="20"/>
          <w:szCs w:val="20"/>
        </w:rPr>
        <w:t>cuyos responsables son</w:t>
      </w:r>
      <w:r w:rsidR="00562191">
        <w:rPr>
          <w:rFonts w:cs="Arial"/>
          <w:color w:val="000000"/>
          <w:sz w:val="20"/>
          <w:szCs w:val="20"/>
        </w:rPr>
        <w:t xml:space="preserve"> </w:t>
      </w:r>
      <w:r w:rsidR="00562191" w:rsidRPr="00666923">
        <w:rPr>
          <w:rFonts w:cs="Arial"/>
          <w:b/>
          <w:color w:val="000000"/>
          <w:sz w:val="20"/>
          <w:szCs w:val="20"/>
        </w:rPr>
        <w:t>Dª Dolores Fernández López</w:t>
      </w:r>
      <w:r w:rsidR="00562191">
        <w:rPr>
          <w:rFonts w:cs="Arial"/>
          <w:color w:val="000000"/>
          <w:sz w:val="20"/>
          <w:szCs w:val="20"/>
        </w:rPr>
        <w:t xml:space="preserve">, Jefa de Unidad de </w:t>
      </w:r>
      <w:r w:rsidR="00666923">
        <w:rPr>
          <w:rFonts w:cs="Arial"/>
          <w:color w:val="000000"/>
          <w:sz w:val="20"/>
          <w:szCs w:val="20"/>
        </w:rPr>
        <w:t>política</w:t>
      </w:r>
      <w:r w:rsidR="00562191">
        <w:rPr>
          <w:rFonts w:cs="Arial"/>
          <w:color w:val="000000"/>
          <w:sz w:val="20"/>
          <w:szCs w:val="20"/>
        </w:rPr>
        <w:t xml:space="preserve"> </w:t>
      </w:r>
      <w:r w:rsidR="00666923">
        <w:rPr>
          <w:rFonts w:cs="Arial"/>
          <w:color w:val="000000"/>
          <w:sz w:val="20"/>
          <w:szCs w:val="20"/>
        </w:rPr>
        <w:t>científica</w:t>
      </w:r>
      <w:r w:rsidR="00562191">
        <w:rPr>
          <w:rFonts w:cs="Arial"/>
          <w:color w:val="000000"/>
          <w:sz w:val="20"/>
          <w:szCs w:val="20"/>
        </w:rPr>
        <w:t xml:space="preserve"> e investigación, Dirección General de Universidades e Investigación</w:t>
      </w:r>
      <w:r w:rsidR="00666923">
        <w:rPr>
          <w:rFonts w:cs="Arial"/>
          <w:color w:val="000000"/>
          <w:sz w:val="20"/>
          <w:szCs w:val="20"/>
        </w:rPr>
        <w:t xml:space="preserve">, </w:t>
      </w:r>
      <w:proofErr w:type="spellStart"/>
      <w:r w:rsidR="00666923">
        <w:rPr>
          <w:rFonts w:cs="Arial"/>
          <w:color w:val="000000"/>
          <w:sz w:val="20"/>
          <w:szCs w:val="20"/>
        </w:rPr>
        <w:t>Consejeria</w:t>
      </w:r>
      <w:proofErr w:type="spellEnd"/>
      <w:r w:rsidR="00666923">
        <w:rPr>
          <w:rFonts w:cs="Arial"/>
          <w:color w:val="000000"/>
          <w:sz w:val="20"/>
          <w:szCs w:val="20"/>
        </w:rPr>
        <w:t xml:space="preserve"> de Educación y Universidades y </w:t>
      </w:r>
      <w:r w:rsidR="00666923" w:rsidRPr="00666923">
        <w:rPr>
          <w:rFonts w:cs="Arial"/>
          <w:b/>
          <w:color w:val="000000"/>
          <w:sz w:val="20"/>
          <w:szCs w:val="20"/>
        </w:rPr>
        <w:t>D. Emilio Gaspar Tomás</w:t>
      </w:r>
      <w:r w:rsidR="00666923">
        <w:rPr>
          <w:rFonts w:cs="Arial"/>
          <w:color w:val="000000"/>
          <w:sz w:val="20"/>
          <w:szCs w:val="20"/>
        </w:rPr>
        <w:t xml:space="preserve">, </w:t>
      </w:r>
      <w:r w:rsidR="005544C2">
        <w:rPr>
          <w:rFonts w:cs="Arial"/>
          <w:color w:val="000000"/>
          <w:sz w:val="20"/>
          <w:szCs w:val="20"/>
        </w:rPr>
        <w:t>Técnico</w:t>
      </w:r>
      <w:r w:rsidR="00666923">
        <w:rPr>
          <w:rFonts w:cs="Arial"/>
          <w:color w:val="000000"/>
          <w:sz w:val="20"/>
          <w:szCs w:val="20"/>
        </w:rPr>
        <w:t xml:space="preserve"> de Formación y Transferencia Tecnológica de la </w:t>
      </w:r>
      <w:proofErr w:type="spellStart"/>
      <w:r w:rsidR="00666923">
        <w:rPr>
          <w:rFonts w:cs="Arial"/>
          <w:color w:val="000000"/>
          <w:sz w:val="20"/>
          <w:szCs w:val="20"/>
        </w:rPr>
        <w:t>Consejeria</w:t>
      </w:r>
      <w:proofErr w:type="spellEnd"/>
      <w:r w:rsidR="00666923">
        <w:rPr>
          <w:rFonts w:cs="Arial"/>
          <w:color w:val="000000"/>
          <w:sz w:val="20"/>
          <w:szCs w:val="20"/>
        </w:rPr>
        <w:t xml:space="preserve"> de Agua, Agricultura y Medio Ambiente, con</w:t>
      </w:r>
      <w:r>
        <w:rPr>
          <w:rFonts w:cs="Arial"/>
          <w:color w:val="000000"/>
          <w:sz w:val="20"/>
          <w:szCs w:val="20"/>
        </w:rPr>
        <w:t xml:space="preserve"> la concreción de las funciones que asume del Real Decreto 229/2008, de 15 de febrero: </w:t>
      </w:r>
    </w:p>
    <w:p w:rsidR="001A5464" w:rsidRDefault="001A5464" w:rsidP="00C405E4">
      <w:pPr>
        <w:pStyle w:val="Pa7"/>
        <w:spacing w:before="160"/>
        <w:ind w:firstLine="340"/>
        <w:jc w:val="both"/>
        <w:rPr>
          <w:rFonts w:cs="Arial"/>
          <w:sz w:val="20"/>
          <w:szCs w:val="20"/>
        </w:rPr>
      </w:pPr>
      <w:r>
        <w:rPr>
          <w:rFonts w:cs="Arial"/>
          <w:sz w:val="20"/>
          <w:szCs w:val="20"/>
        </w:rPr>
        <w:t>a) Observar y analizar, a nivel estatal, la evolución de los sectores productivos, para adecuar la oferta de formación a las necesidades del mercado de trabajo.</w:t>
      </w:r>
    </w:p>
    <w:p w:rsidR="001A5464" w:rsidRDefault="001A5464" w:rsidP="001A5464">
      <w:pPr>
        <w:pStyle w:val="Pa6"/>
        <w:ind w:firstLine="340"/>
        <w:jc w:val="both"/>
        <w:rPr>
          <w:rFonts w:cs="Arial"/>
          <w:sz w:val="20"/>
          <w:szCs w:val="20"/>
        </w:rPr>
      </w:pPr>
      <w:r>
        <w:rPr>
          <w:rFonts w:cs="Arial"/>
          <w:sz w:val="20"/>
          <w:szCs w:val="20"/>
        </w:rPr>
        <w:lastRenderedPageBreak/>
        <w:t>b) Estudiar la idoneidad de instalaciones, equipamientos y medios didácticos, desarrollar técnicas de organización y gestión de la formación y proponer la aplicación de criterios, indicadores y dispositivos de calidad para centros y entidades de formación.</w:t>
      </w:r>
    </w:p>
    <w:p w:rsidR="001A5464" w:rsidRDefault="001A5464" w:rsidP="001A5464">
      <w:pPr>
        <w:pStyle w:val="Pa6"/>
        <w:ind w:firstLine="340"/>
        <w:jc w:val="both"/>
        <w:rPr>
          <w:rFonts w:cs="Arial"/>
          <w:sz w:val="20"/>
          <w:szCs w:val="20"/>
        </w:rPr>
      </w:pPr>
      <w:r>
        <w:rPr>
          <w:rFonts w:cs="Arial"/>
          <w:sz w:val="20"/>
          <w:szCs w:val="20"/>
        </w:rPr>
        <w:t>c) Establecer vínculos de colaboración, incluyendo la gestión de redes virtuales, con institutos y agencias de cualificaciones autonómicos, universidades, centros tecnológicos y de investigación, Centros Integrados de Formación Profesional, empresas y otras entidades, para fomentar la investigación, innovación y desarrollo de la formación profesional, así como para observar y analizar la evolución de las bases científicas y tecnológicas relacionadas con los procesos de formación o con el sector de referencia.</w:t>
      </w:r>
    </w:p>
    <w:p w:rsidR="001A5464" w:rsidRDefault="001A5464" w:rsidP="001A5464">
      <w:pPr>
        <w:pStyle w:val="Pa7"/>
        <w:spacing w:before="160"/>
        <w:ind w:firstLine="340"/>
        <w:jc w:val="both"/>
        <w:rPr>
          <w:rFonts w:cs="Arial"/>
          <w:sz w:val="20"/>
          <w:szCs w:val="20"/>
        </w:rPr>
      </w:pPr>
      <w:r w:rsidRPr="000313AA">
        <w:rPr>
          <w:rFonts w:cs="Arial"/>
          <w:i/>
          <w:sz w:val="20"/>
          <w:szCs w:val="20"/>
        </w:rPr>
        <w:t>3.2 Departamento de Desarrollo, Innovación, Experimentación y Formación,</w:t>
      </w:r>
      <w:r w:rsidR="005544C2" w:rsidRPr="000313AA">
        <w:rPr>
          <w:rFonts w:cs="Arial"/>
          <w:i/>
          <w:sz w:val="20"/>
          <w:szCs w:val="20"/>
        </w:rPr>
        <w:t xml:space="preserve"> cuyos responsables son</w:t>
      </w:r>
      <w:r w:rsidR="005544C2">
        <w:rPr>
          <w:rFonts w:cs="Arial"/>
          <w:sz w:val="20"/>
          <w:szCs w:val="20"/>
        </w:rPr>
        <w:t xml:space="preserve"> </w:t>
      </w:r>
      <w:r w:rsidR="00421807">
        <w:rPr>
          <w:rFonts w:cs="Arial"/>
          <w:b/>
          <w:sz w:val="20"/>
          <w:szCs w:val="20"/>
        </w:rPr>
        <w:t xml:space="preserve">D. Mariano Miguel </w:t>
      </w:r>
      <w:proofErr w:type="spellStart"/>
      <w:r w:rsidR="00421807">
        <w:rPr>
          <w:rFonts w:cs="Arial"/>
          <w:b/>
          <w:sz w:val="20"/>
          <w:szCs w:val="20"/>
        </w:rPr>
        <w:t>Espin</w:t>
      </w:r>
      <w:proofErr w:type="spellEnd"/>
      <w:r w:rsidR="00421807">
        <w:rPr>
          <w:rFonts w:cs="Arial"/>
          <w:b/>
          <w:sz w:val="20"/>
          <w:szCs w:val="20"/>
        </w:rPr>
        <w:t xml:space="preserve"> </w:t>
      </w:r>
      <w:proofErr w:type="spellStart"/>
      <w:r w:rsidR="00421807">
        <w:rPr>
          <w:rFonts w:cs="Arial"/>
          <w:b/>
          <w:sz w:val="20"/>
          <w:szCs w:val="20"/>
        </w:rPr>
        <w:t>Aledo</w:t>
      </w:r>
      <w:proofErr w:type="spellEnd"/>
      <w:r w:rsidR="005544C2">
        <w:rPr>
          <w:rFonts w:cs="Arial"/>
          <w:sz w:val="20"/>
          <w:szCs w:val="20"/>
        </w:rPr>
        <w:t xml:space="preserve">, Técnico de Formación y Transferencia Tecnológica de la </w:t>
      </w:r>
      <w:proofErr w:type="spellStart"/>
      <w:r w:rsidR="005544C2">
        <w:rPr>
          <w:rFonts w:cs="Arial"/>
          <w:sz w:val="20"/>
          <w:szCs w:val="20"/>
        </w:rPr>
        <w:t>Consejeria</w:t>
      </w:r>
      <w:proofErr w:type="spellEnd"/>
      <w:r w:rsidR="005544C2">
        <w:rPr>
          <w:rFonts w:cs="Arial"/>
          <w:sz w:val="20"/>
          <w:szCs w:val="20"/>
        </w:rPr>
        <w:t xml:space="preserve"> de Agua, Agricultura y Medio Ambiente y </w:t>
      </w:r>
      <w:r w:rsidR="005544C2" w:rsidRPr="00EB361F">
        <w:rPr>
          <w:rFonts w:cs="Arial"/>
          <w:b/>
          <w:sz w:val="20"/>
          <w:szCs w:val="20"/>
        </w:rPr>
        <w:t xml:space="preserve">D. </w:t>
      </w:r>
      <w:smartTag w:uri="urn:schemas-microsoft-com:office:smarttags" w:element="PersonName">
        <w:smartTagPr>
          <w:attr w:name="ProductID" w:val="Arturo Lafuente Couti￱o"/>
        </w:smartTagPr>
        <w:r w:rsidR="005544C2" w:rsidRPr="00EB361F">
          <w:rPr>
            <w:rFonts w:cs="Arial"/>
            <w:b/>
            <w:sz w:val="20"/>
            <w:szCs w:val="20"/>
          </w:rPr>
          <w:t xml:space="preserve">Arturo Lafuente </w:t>
        </w:r>
        <w:proofErr w:type="spellStart"/>
        <w:r w:rsidR="005544C2" w:rsidRPr="00EB361F">
          <w:rPr>
            <w:rFonts w:cs="Arial"/>
            <w:b/>
            <w:sz w:val="20"/>
            <w:szCs w:val="20"/>
          </w:rPr>
          <w:t>Coutiño</w:t>
        </w:r>
      </w:smartTag>
      <w:proofErr w:type="spellEnd"/>
      <w:r w:rsidR="00E063B5">
        <w:rPr>
          <w:rFonts w:cs="Arial"/>
          <w:sz w:val="20"/>
          <w:szCs w:val="20"/>
        </w:rPr>
        <w:t>, Técnico Responsable de Ganadería</w:t>
      </w:r>
      <w:r w:rsidR="005544C2">
        <w:rPr>
          <w:rFonts w:cs="Arial"/>
          <w:sz w:val="20"/>
          <w:szCs w:val="20"/>
        </w:rPr>
        <w:t xml:space="preserve"> de la </w:t>
      </w:r>
      <w:proofErr w:type="spellStart"/>
      <w:r w:rsidR="00EB361F">
        <w:rPr>
          <w:rFonts w:cs="Arial"/>
          <w:sz w:val="20"/>
          <w:szCs w:val="20"/>
        </w:rPr>
        <w:t>Consejeria</w:t>
      </w:r>
      <w:proofErr w:type="spellEnd"/>
      <w:r w:rsidR="00EB361F">
        <w:rPr>
          <w:rFonts w:cs="Arial"/>
          <w:sz w:val="20"/>
          <w:szCs w:val="20"/>
        </w:rPr>
        <w:t xml:space="preserve"> de Agricultura, Agua y Medio Ambiente,</w:t>
      </w:r>
      <w:r>
        <w:rPr>
          <w:rFonts w:cs="Arial"/>
          <w:sz w:val="20"/>
          <w:szCs w:val="20"/>
        </w:rPr>
        <w:t xml:space="preserve"> con la concreción de las funciones que asume del Real Decreto 229/2008, de 15 de febrero:</w:t>
      </w:r>
    </w:p>
    <w:p w:rsidR="001A5464" w:rsidRDefault="001A5464" w:rsidP="001A5464">
      <w:pPr>
        <w:pStyle w:val="Pa7"/>
        <w:spacing w:before="160"/>
        <w:ind w:firstLine="340"/>
        <w:jc w:val="both"/>
        <w:rPr>
          <w:rFonts w:cs="Arial"/>
          <w:sz w:val="20"/>
          <w:szCs w:val="20"/>
        </w:rPr>
      </w:pPr>
      <w:r>
        <w:rPr>
          <w:rFonts w:cs="Arial"/>
          <w:sz w:val="20"/>
          <w:szCs w:val="20"/>
        </w:rPr>
        <w:t xml:space="preserve">a) Experimentar acciones de </w:t>
      </w:r>
      <w:proofErr w:type="gramStart"/>
      <w:r>
        <w:rPr>
          <w:rFonts w:cs="Arial"/>
          <w:sz w:val="20"/>
          <w:szCs w:val="20"/>
        </w:rPr>
        <w:t>innovación formativa vinculadas</w:t>
      </w:r>
      <w:proofErr w:type="gramEnd"/>
      <w:r>
        <w:rPr>
          <w:rFonts w:cs="Arial"/>
          <w:sz w:val="20"/>
          <w:szCs w:val="20"/>
        </w:rPr>
        <w:t xml:space="preserve"> al Catálogo Nacional de Cualificaciones Profesionales para validar su adecuación y, en su caso, elaborar contenidos, metodologías y materiales didácticos para proponer su actualización.</w:t>
      </w:r>
    </w:p>
    <w:p w:rsidR="001A5464" w:rsidRDefault="001A5464" w:rsidP="001A5464">
      <w:pPr>
        <w:pStyle w:val="Pa6"/>
        <w:ind w:firstLine="340"/>
        <w:jc w:val="both"/>
        <w:rPr>
          <w:rFonts w:cs="Arial"/>
          <w:sz w:val="20"/>
          <w:szCs w:val="20"/>
        </w:rPr>
      </w:pPr>
      <w:r>
        <w:rPr>
          <w:rFonts w:cs="Arial"/>
          <w:sz w:val="20"/>
          <w:szCs w:val="20"/>
        </w:rPr>
        <w:t>b) Contribuir al diseño y desarrollo de planes de perfeccionamiento técnico y metodológico dirigidos al personal docente o formador, expertos y orientadores profesionales, así como a evaluadores que intervengan en procesos de reconocimiento de competencias profesionales.</w:t>
      </w:r>
    </w:p>
    <w:p w:rsidR="001A5464" w:rsidRDefault="001A5464" w:rsidP="001A5464">
      <w:pPr>
        <w:pStyle w:val="Pa6"/>
        <w:ind w:firstLine="340"/>
        <w:jc w:val="both"/>
        <w:rPr>
          <w:rFonts w:cs="Arial"/>
          <w:sz w:val="20"/>
          <w:szCs w:val="20"/>
        </w:rPr>
      </w:pPr>
      <w:r>
        <w:rPr>
          <w:rFonts w:cs="Arial"/>
          <w:sz w:val="20"/>
          <w:szCs w:val="20"/>
        </w:rPr>
        <w:t>c) Colaborar con las organizaciones empresariales y sindicales más representativas, así como con las Comisiones Paritarias constituidas al amparo de la negociación colectiva sectorial, de ámbito estatal.</w:t>
      </w:r>
    </w:p>
    <w:p w:rsidR="001A5464" w:rsidRDefault="001A5464" w:rsidP="001A5464">
      <w:pPr>
        <w:pStyle w:val="Pa6"/>
        <w:ind w:firstLine="340"/>
        <w:jc w:val="both"/>
        <w:rPr>
          <w:rFonts w:cs="Arial"/>
          <w:sz w:val="20"/>
          <w:szCs w:val="20"/>
        </w:rPr>
      </w:pPr>
      <w:r>
        <w:rPr>
          <w:rFonts w:cs="Arial"/>
          <w:sz w:val="20"/>
          <w:szCs w:val="20"/>
        </w:rPr>
        <w:t>d) Participar en programas e iniciativas internacionales en su ámbito de actuación.</w:t>
      </w:r>
    </w:p>
    <w:p w:rsidR="001A5464" w:rsidRDefault="001A5464" w:rsidP="001A5464">
      <w:pPr>
        <w:pStyle w:val="Pa7"/>
        <w:spacing w:before="160"/>
        <w:ind w:firstLine="340"/>
        <w:jc w:val="both"/>
        <w:rPr>
          <w:rFonts w:cs="Arial"/>
          <w:sz w:val="20"/>
          <w:szCs w:val="20"/>
        </w:rPr>
      </w:pPr>
      <w:r w:rsidRPr="000313AA">
        <w:rPr>
          <w:rFonts w:cs="Arial"/>
          <w:i/>
          <w:sz w:val="20"/>
          <w:szCs w:val="20"/>
        </w:rPr>
        <w:t xml:space="preserve">3.3 Departamento de Acreditación y Reconocimiento de Cualificaciones Profesionales, </w:t>
      </w:r>
      <w:r w:rsidR="00EB361F" w:rsidRPr="000313AA">
        <w:rPr>
          <w:rFonts w:cs="Arial"/>
          <w:i/>
          <w:sz w:val="20"/>
          <w:szCs w:val="20"/>
        </w:rPr>
        <w:t>cuyos responsables son</w:t>
      </w:r>
      <w:r w:rsidR="00EB361F">
        <w:rPr>
          <w:rFonts w:cs="Arial"/>
          <w:sz w:val="20"/>
          <w:szCs w:val="20"/>
        </w:rPr>
        <w:t xml:space="preserve"> </w:t>
      </w:r>
      <w:r w:rsidR="00421807">
        <w:rPr>
          <w:rFonts w:cs="Arial"/>
          <w:b/>
          <w:sz w:val="20"/>
          <w:szCs w:val="20"/>
        </w:rPr>
        <w:t>D. José Maria Ros Piqueras</w:t>
      </w:r>
      <w:r w:rsidR="00EB361F">
        <w:rPr>
          <w:rFonts w:cs="Arial"/>
          <w:sz w:val="20"/>
          <w:szCs w:val="20"/>
        </w:rPr>
        <w:t xml:space="preserve">, Técnico de </w:t>
      </w:r>
      <w:r w:rsidR="00F5498C">
        <w:rPr>
          <w:rFonts w:cs="Arial"/>
          <w:sz w:val="20"/>
          <w:szCs w:val="20"/>
        </w:rPr>
        <w:t>Formación y Transferencia Tecnológica</w:t>
      </w:r>
      <w:r w:rsidR="00EB361F">
        <w:rPr>
          <w:rFonts w:cs="Arial"/>
          <w:sz w:val="20"/>
          <w:szCs w:val="20"/>
        </w:rPr>
        <w:t xml:space="preserve"> de la </w:t>
      </w:r>
      <w:proofErr w:type="spellStart"/>
      <w:r w:rsidR="00EB361F">
        <w:rPr>
          <w:rFonts w:cs="Arial"/>
          <w:sz w:val="20"/>
          <w:szCs w:val="20"/>
        </w:rPr>
        <w:t>Consejeria</w:t>
      </w:r>
      <w:proofErr w:type="spellEnd"/>
      <w:r w:rsidR="00EB361F">
        <w:rPr>
          <w:rFonts w:cs="Arial"/>
          <w:sz w:val="20"/>
          <w:szCs w:val="20"/>
        </w:rPr>
        <w:t xml:space="preserve"> de Agricultura, Agua y Medio Ambiente y </w:t>
      </w:r>
      <w:r w:rsidR="005105FE">
        <w:rPr>
          <w:rFonts w:cs="Arial"/>
          <w:b/>
          <w:sz w:val="20"/>
          <w:szCs w:val="20"/>
        </w:rPr>
        <w:t xml:space="preserve">D. </w:t>
      </w:r>
      <w:r w:rsidR="00F5498C">
        <w:rPr>
          <w:rFonts w:cs="Arial"/>
          <w:b/>
          <w:sz w:val="20"/>
          <w:szCs w:val="20"/>
        </w:rPr>
        <w:t xml:space="preserve">Francisco José Fernández Sánchez </w:t>
      </w:r>
      <w:r w:rsidR="00EB361F">
        <w:rPr>
          <w:rFonts w:cs="Arial"/>
          <w:sz w:val="20"/>
          <w:szCs w:val="20"/>
        </w:rPr>
        <w:t xml:space="preserve">Técnico </w:t>
      </w:r>
      <w:r w:rsidR="00F5498C">
        <w:rPr>
          <w:rFonts w:cs="Arial"/>
          <w:sz w:val="20"/>
          <w:szCs w:val="20"/>
        </w:rPr>
        <w:t>d</w:t>
      </w:r>
      <w:r w:rsidR="00EB361F">
        <w:rPr>
          <w:rFonts w:cs="Arial"/>
          <w:sz w:val="20"/>
          <w:szCs w:val="20"/>
        </w:rPr>
        <w:t xml:space="preserve">e </w:t>
      </w:r>
      <w:r w:rsidR="00F5498C">
        <w:rPr>
          <w:rFonts w:cs="Arial"/>
          <w:sz w:val="20"/>
          <w:szCs w:val="20"/>
        </w:rPr>
        <w:t>Gestión</w:t>
      </w:r>
      <w:r w:rsidR="00EB361F">
        <w:rPr>
          <w:rFonts w:cs="Arial"/>
          <w:sz w:val="20"/>
          <w:szCs w:val="20"/>
        </w:rPr>
        <w:t xml:space="preserve"> de la </w:t>
      </w:r>
      <w:proofErr w:type="spellStart"/>
      <w:r w:rsidR="00EB361F">
        <w:rPr>
          <w:rFonts w:cs="Arial"/>
          <w:sz w:val="20"/>
          <w:szCs w:val="20"/>
        </w:rPr>
        <w:t>Consejeria</w:t>
      </w:r>
      <w:proofErr w:type="spellEnd"/>
      <w:r w:rsidR="00EB361F">
        <w:rPr>
          <w:rFonts w:cs="Arial"/>
          <w:sz w:val="20"/>
          <w:szCs w:val="20"/>
        </w:rPr>
        <w:t xml:space="preserve"> de Agricultura, Agua y Medio </w:t>
      </w:r>
      <w:proofErr w:type="gramStart"/>
      <w:r w:rsidR="00EB361F">
        <w:rPr>
          <w:rFonts w:cs="Arial"/>
          <w:sz w:val="20"/>
          <w:szCs w:val="20"/>
        </w:rPr>
        <w:t xml:space="preserve">Ambiente  </w:t>
      </w:r>
      <w:r>
        <w:rPr>
          <w:rFonts w:cs="Arial"/>
          <w:sz w:val="20"/>
          <w:szCs w:val="20"/>
        </w:rPr>
        <w:t>con</w:t>
      </w:r>
      <w:proofErr w:type="gramEnd"/>
      <w:r>
        <w:rPr>
          <w:rFonts w:cs="Arial"/>
          <w:sz w:val="20"/>
          <w:szCs w:val="20"/>
        </w:rPr>
        <w:t xml:space="preserve"> la concreción de las funciones que asume del Real Decreto 229/2008, de 15 de febrero:</w:t>
      </w:r>
    </w:p>
    <w:p w:rsidR="001A5464" w:rsidRDefault="001A5464" w:rsidP="001A5464">
      <w:pPr>
        <w:pStyle w:val="Pa7"/>
        <w:spacing w:before="160"/>
        <w:ind w:firstLine="340"/>
        <w:jc w:val="both"/>
        <w:rPr>
          <w:rFonts w:cs="Arial"/>
          <w:sz w:val="20"/>
          <w:szCs w:val="20"/>
        </w:rPr>
      </w:pPr>
      <w:r>
        <w:rPr>
          <w:rFonts w:cs="Arial"/>
          <w:sz w:val="20"/>
          <w:szCs w:val="20"/>
        </w:rPr>
        <w:t>a) Colaborar con el Instituto Nacional de las Cualificaciones en la actualización del Catálogo Nacional de las Cualificaciones Profesionales</w:t>
      </w:r>
    </w:p>
    <w:p w:rsidR="001A5464" w:rsidRDefault="001A5464" w:rsidP="001A5464">
      <w:pPr>
        <w:pStyle w:val="Pa6"/>
        <w:ind w:firstLine="340"/>
        <w:jc w:val="both"/>
        <w:rPr>
          <w:rFonts w:cs="Arial"/>
          <w:sz w:val="20"/>
          <w:szCs w:val="20"/>
        </w:rPr>
      </w:pPr>
      <w:r>
        <w:rPr>
          <w:rFonts w:cs="Arial"/>
          <w:sz w:val="20"/>
          <w:szCs w:val="20"/>
        </w:rPr>
        <w:t>b) Colaborar y, en su caso, realizar estudios necesarios para elaborar certificados de profesionalidad, así como en la realización, custodia, mantenimiento y actualización de sus pruebas de evaluación.</w:t>
      </w:r>
    </w:p>
    <w:p w:rsidR="001A5464" w:rsidRDefault="001A5464" w:rsidP="001A5464">
      <w:pPr>
        <w:pStyle w:val="Pa6"/>
        <w:ind w:firstLine="340"/>
        <w:jc w:val="both"/>
        <w:rPr>
          <w:rFonts w:cs="Arial"/>
          <w:sz w:val="20"/>
          <w:szCs w:val="20"/>
        </w:rPr>
      </w:pPr>
      <w:r>
        <w:rPr>
          <w:rFonts w:cs="Arial"/>
          <w:sz w:val="20"/>
          <w:szCs w:val="20"/>
        </w:rPr>
        <w:t>c) Colaborar en el procedimiento de evaluación y acreditación de las competencias profesionales, de acuerdo con el desarrollo del Real Decreto 1224/2009 de 17 de julio, de reconocimiento de las competencias profesionales adquiridas por experiencia laboral.</w:t>
      </w:r>
    </w:p>
    <w:p w:rsidR="001A5464" w:rsidRDefault="001A5464" w:rsidP="001A5464">
      <w:pPr>
        <w:pStyle w:val="Pa6"/>
        <w:ind w:firstLine="340"/>
        <w:jc w:val="both"/>
        <w:rPr>
          <w:rFonts w:cs="Arial"/>
          <w:sz w:val="20"/>
          <w:szCs w:val="20"/>
        </w:rPr>
      </w:pPr>
      <w:r>
        <w:rPr>
          <w:rFonts w:cs="Arial"/>
          <w:sz w:val="20"/>
          <w:szCs w:val="20"/>
        </w:rPr>
        <w:t xml:space="preserve"> </w:t>
      </w:r>
    </w:p>
    <w:p w:rsidR="000313AA" w:rsidRDefault="000313AA" w:rsidP="000313AA">
      <w:pPr>
        <w:pStyle w:val="Default"/>
      </w:pPr>
    </w:p>
    <w:p w:rsidR="000313AA" w:rsidRDefault="000313AA" w:rsidP="000313AA">
      <w:pPr>
        <w:pStyle w:val="Default"/>
        <w:jc w:val="center"/>
      </w:pPr>
      <w:r>
        <w:t xml:space="preserve">                                                                      Lorca, 3 de </w:t>
      </w:r>
      <w:r w:rsidR="00ED5833">
        <w:t>enero de 2018</w:t>
      </w:r>
    </w:p>
    <w:p w:rsidR="000313AA" w:rsidRDefault="000313AA" w:rsidP="000313AA">
      <w:pPr>
        <w:pStyle w:val="Default"/>
        <w:jc w:val="right"/>
      </w:pPr>
    </w:p>
    <w:p w:rsidR="000313AA" w:rsidRDefault="000313AA" w:rsidP="000313AA">
      <w:pPr>
        <w:pStyle w:val="Default"/>
        <w:jc w:val="right"/>
      </w:pPr>
    </w:p>
    <w:p w:rsidR="000313AA" w:rsidRDefault="000313AA" w:rsidP="000313AA">
      <w:pPr>
        <w:pStyle w:val="Default"/>
        <w:jc w:val="right"/>
      </w:pPr>
    </w:p>
    <w:p w:rsidR="000313AA" w:rsidRDefault="000313AA" w:rsidP="000313AA">
      <w:pPr>
        <w:pStyle w:val="Default"/>
        <w:jc w:val="right"/>
      </w:pPr>
    </w:p>
    <w:p w:rsidR="000313AA" w:rsidRPr="000313AA" w:rsidRDefault="000313AA" w:rsidP="000313AA">
      <w:pPr>
        <w:pStyle w:val="Default"/>
        <w:jc w:val="right"/>
      </w:pPr>
      <w:r>
        <w:t xml:space="preserve">Fdo. Antonio </w:t>
      </w:r>
      <w:smartTag w:uri="urn:schemas-microsoft-com:office:smarttags" w:element="PersonName">
        <w:smartTagPr>
          <w:attr w:name="ProductID" w:val="José Hernández Copé"/>
        </w:smartTagPr>
        <w:r>
          <w:t>José Hernández Copé</w:t>
        </w:r>
      </w:smartTag>
    </w:p>
    <w:sectPr w:rsidR="000313AA" w:rsidRPr="000313AA" w:rsidSect="008E0762">
      <w:headerReference w:type="default" r:id="rId7"/>
      <w:type w:val="continuous"/>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C92" w:rsidRDefault="00521C92">
      <w:r>
        <w:separator/>
      </w:r>
    </w:p>
  </w:endnote>
  <w:endnote w:type="continuationSeparator" w:id="0">
    <w:p w:rsidR="00521C92" w:rsidRDefault="005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C92" w:rsidRDefault="00521C92">
      <w:r>
        <w:separator/>
      </w:r>
    </w:p>
  </w:footnote>
  <w:footnote w:type="continuationSeparator" w:id="0">
    <w:p w:rsidR="00521C92" w:rsidRDefault="005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E6" w:rsidRDefault="007C1BD6">
    <w:pPr>
      <w:pStyle w:val="Encabezado"/>
    </w:pPr>
    <w:r>
      <w:rPr>
        <w:noProof/>
      </w:rPr>
      <w:drawing>
        <wp:anchor distT="0" distB="0" distL="114300" distR="114300" simplePos="0" relativeHeight="251659264" behindDoc="0" locked="0" layoutInCell="1" allowOverlap="1" wp14:anchorId="353561F3" wp14:editId="5BFB877C">
          <wp:simplePos x="0" y="0"/>
          <wp:positionH relativeFrom="page">
            <wp:align>left</wp:align>
          </wp:positionH>
          <wp:positionV relativeFrom="page">
            <wp:posOffset>10795</wp:posOffset>
          </wp:positionV>
          <wp:extent cx="7650408" cy="1040761"/>
          <wp:effectExtent l="0" t="0" r="0" b="762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IST EDUCACION SE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0408" cy="104076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10223"/>
    <w:multiLevelType w:val="hybridMultilevel"/>
    <w:tmpl w:val="633A414C"/>
    <w:lvl w:ilvl="0" w:tplc="0C0A0001">
      <w:start w:val="1"/>
      <w:numFmt w:val="bullet"/>
      <w:lvlText w:val=""/>
      <w:lvlJc w:val="left"/>
      <w:pPr>
        <w:ind w:left="2844" w:hanging="360"/>
      </w:pPr>
      <w:rPr>
        <w:rFonts w:ascii="Symbol" w:hAnsi="Symbol" w:hint="default"/>
      </w:rPr>
    </w:lvl>
    <w:lvl w:ilvl="1" w:tplc="0C0A0003" w:tentative="1">
      <w:start w:val="1"/>
      <w:numFmt w:val="bullet"/>
      <w:lvlText w:val="o"/>
      <w:lvlJc w:val="left"/>
      <w:pPr>
        <w:ind w:left="3564" w:hanging="360"/>
      </w:pPr>
      <w:rPr>
        <w:rFonts w:ascii="Courier New" w:hAnsi="Courier New" w:cs="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1" w15:restartNumberingAfterBreak="0">
    <w:nsid w:val="1F0367E2"/>
    <w:multiLevelType w:val="hybridMultilevel"/>
    <w:tmpl w:val="4C32A892"/>
    <w:lvl w:ilvl="0" w:tplc="F6E08C00">
      <w:start w:val="1"/>
      <w:numFmt w:val="bullet"/>
      <w:lvlText w:val=""/>
      <w:lvlJc w:val="left"/>
      <w:pPr>
        <w:tabs>
          <w:tab w:val="num" w:pos="170"/>
        </w:tabs>
        <w:ind w:left="170" w:hanging="170"/>
      </w:pPr>
      <w:rPr>
        <w:rFonts w:ascii="Symbol" w:hAnsi="Symbol" w:hint="default"/>
        <w:kern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0074F"/>
    <w:multiLevelType w:val="hybridMultilevel"/>
    <w:tmpl w:val="38383302"/>
    <w:lvl w:ilvl="0" w:tplc="7B0A91C6">
      <w:start w:val="1"/>
      <w:numFmt w:val="bullet"/>
      <w:lvlText w:val="­"/>
      <w:lvlJc w:val="left"/>
      <w:pPr>
        <w:tabs>
          <w:tab w:val="num" w:pos="708"/>
        </w:tabs>
        <w:ind w:left="708" w:firstLine="0"/>
      </w:pPr>
      <w:rPr>
        <w:rFonts w:ascii="Courier New" w:hAnsi="Courier New"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67D2313A"/>
    <w:multiLevelType w:val="hybridMultilevel"/>
    <w:tmpl w:val="958A6C32"/>
    <w:lvl w:ilvl="0" w:tplc="BE042D18">
      <w:start w:val="1"/>
      <w:numFmt w:val="decimal"/>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457"/>
    <w:rsid w:val="00010820"/>
    <w:rsid w:val="0001272E"/>
    <w:rsid w:val="000267F6"/>
    <w:rsid w:val="000313AA"/>
    <w:rsid w:val="00052283"/>
    <w:rsid w:val="00054934"/>
    <w:rsid w:val="00056C75"/>
    <w:rsid w:val="00071029"/>
    <w:rsid w:val="000A41E9"/>
    <w:rsid w:val="000E151F"/>
    <w:rsid w:val="001134F3"/>
    <w:rsid w:val="00160343"/>
    <w:rsid w:val="00170B12"/>
    <w:rsid w:val="0018252B"/>
    <w:rsid w:val="00192626"/>
    <w:rsid w:val="00193D5C"/>
    <w:rsid w:val="001A4EAE"/>
    <w:rsid w:val="001A5464"/>
    <w:rsid w:val="001A64A5"/>
    <w:rsid w:val="0024720F"/>
    <w:rsid w:val="00257AA2"/>
    <w:rsid w:val="00285FCF"/>
    <w:rsid w:val="002D471F"/>
    <w:rsid w:val="00313BB2"/>
    <w:rsid w:val="00321980"/>
    <w:rsid w:val="0036774D"/>
    <w:rsid w:val="003A6A40"/>
    <w:rsid w:val="003A7817"/>
    <w:rsid w:val="003C415F"/>
    <w:rsid w:val="003D1294"/>
    <w:rsid w:val="003E0BD1"/>
    <w:rsid w:val="003E7EE6"/>
    <w:rsid w:val="00421807"/>
    <w:rsid w:val="00437BC6"/>
    <w:rsid w:val="00483BA1"/>
    <w:rsid w:val="00483C37"/>
    <w:rsid w:val="00484B95"/>
    <w:rsid w:val="00500CDD"/>
    <w:rsid w:val="00503183"/>
    <w:rsid w:val="005105FE"/>
    <w:rsid w:val="00521C92"/>
    <w:rsid w:val="005544C2"/>
    <w:rsid w:val="00562191"/>
    <w:rsid w:val="005715C2"/>
    <w:rsid w:val="00585848"/>
    <w:rsid w:val="00595141"/>
    <w:rsid w:val="005A6CB3"/>
    <w:rsid w:val="005E2F93"/>
    <w:rsid w:val="005E39A6"/>
    <w:rsid w:val="005E794D"/>
    <w:rsid w:val="005F6868"/>
    <w:rsid w:val="00630EFE"/>
    <w:rsid w:val="00666923"/>
    <w:rsid w:val="006E13BD"/>
    <w:rsid w:val="006E753B"/>
    <w:rsid w:val="006F5345"/>
    <w:rsid w:val="00701ED8"/>
    <w:rsid w:val="00706A47"/>
    <w:rsid w:val="00720BEC"/>
    <w:rsid w:val="007A5CE4"/>
    <w:rsid w:val="007C1BD6"/>
    <w:rsid w:val="008307CF"/>
    <w:rsid w:val="00865272"/>
    <w:rsid w:val="00882D08"/>
    <w:rsid w:val="0088548F"/>
    <w:rsid w:val="008C2AED"/>
    <w:rsid w:val="008E0762"/>
    <w:rsid w:val="008F04E6"/>
    <w:rsid w:val="008F6432"/>
    <w:rsid w:val="00954575"/>
    <w:rsid w:val="00966D71"/>
    <w:rsid w:val="00971573"/>
    <w:rsid w:val="00984C78"/>
    <w:rsid w:val="0099341D"/>
    <w:rsid w:val="009D7DCE"/>
    <w:rsid w:val="009E3326"/>
    <w:rsid w:val="009F2184"/>
    <w:rsid w:val="00A00F8E"/>
    <w:rsid w:val="00A01916"/>
    <w:rsid w:val="00A1281F"/>
    <w:rsid w:val="00A17860"/>
    <w:rsid w:val="00A90A84"/>
    <w:rsid w:val="00AB18C2"/>
    <w:rsid w:val="00AC33EA"/>
    <w:rsid w:val="00B028BC"/>
    <w:rsid w:val="00B21E7C"/>
    <w:rsid w:val="00B42130"/>
    <w:rsid w:val="00BA16F5"/>
    <w:rsid w:val="00BA4532"/>
    <w:rsid w:val="00C04536"/>
    <w:rsid w:val="00C405E4"/>
    <w:rsid w:val="00C506C9"/>
    <w:rsid w:val="00C90AD6"/>
    <w:rsid w:val="00CC0838"/>
    <w:rsid w:val="00CC0A91"/>
    <w:rsid w:val="00D006BF"/>
    <w:rsid w:val="00D22FFC"/>
    <w:rsid w:val="00D508CD"/>
    <w:rsid w:val="00D51ACF"/>
    <w:rsid w:val="00D652D4"/>
    <w:rsid w:val="00D7755C"/>
    <w:rsid w:val="00D8078C"/>
    <w:rsid w:val="00D83457"/>
    <w:rsid w:val="00DA20E1"/>
    <w:rsid w:val="00DA350B"/>
    <w:rsid w:val="00E063B5"/>
    <w:rsid w:val="00E10F90"/>
    <w:rsid w:val="00E54C61"/>
    <w:rsid w:val="00E851ED"/>
    <w:rsid w:val="00EA5626"/>
    <w:rsid w:val="00EB361F"/>
    <w:rsid w:val="00EB4EEC"/>
    <w:rsid w:val="00ED5833"/>
    <w:rsid w:val="00F06705"/>
    <w:rsid w:val="00F14DE6"/>
    <w:rsid w:val="00F17754"/>
    <w:rsid w:val="00F413A8"/>
    <w:rsid w:val="00F5498C"/>
    <w:rsid w:val="00F65439"/>
    <w:rsid w:val="00F76E4E"/>
    <w:rsid w:val="00FA3DB5"/>
    <w:rsid w:val="00FC27CE"/>
    <w:rsid w:val="00FD5A77"/>
    <w:rsid w:val="00FE5B31"/>
    <w:rsid w:val="00FF20EB"/>
    <w:rsid w:val="00FF67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6293BA4-FEAF-4C79-A7D2-9E763485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rsid w:val="00170B12"/>
    <w:pPr>
      <w:keepNext/>
      <w:ind w:left="57" w:hanging="57"/>
      <w:jc w:val="center"/>
      <w:outlineLvl w:val="0"/>
    </w:pPr>
    <w:rPr>
      <w:b/>
      <w:szCs w:val="20"/>
      <w:lang w:val="es-ES_tradnl"/>
    </w:rPr>
  </w:style>
  <w:style w:type="paragraph" w:styleId="Ttulo3">
    <w:name w:val="heading 3"/>
    <w:basedOn w:val="Normal"/>
    <w:next w:val="Normal"/>
    <w:qFormat/>
    <w:rsid w:val="00484B95"/>
    <w:pPr>
      <w:keepNext/>
      <w:spacing w:before="240" w:after="60"/>
      <w:outlineLvl w:val="2"/>
    </w:pPr>
    <w:rPr>
      <w:rFonts w:ascii="Arial" w:hAnsi="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506C9"/>
    <w:pPr>
      <w:tabs>
        <w:tab w:val="center" w:pos="4252"/>
        <w:tab w:val="right" w:pos="8504"/>
      </w:tabs>
    </w:pPr>
  </w:style>
  <w:style w:type="paragraph" w:styleId="Piedepgina">
    <w:name w:val="footer"/>
    <w:basedOn w:val="Normal"/>
    <w:rsid w:val="00C506C9"/>
    <w:pPr>
      <w:tabs>
        <w:tab w:val="center" w:pos="4252"/>
        <w:tab w:val="right" w:pos="8504"/>
      </w:tabs>
    </w:pPr>
  </w:style>
  <w:style w:type="character" w:styleId="Hipervnculo">
    <w:name w:val="Hyperlink"/>
    <w:rsid w:val="00FF67F9"/>
    <w:rPr>
      <w:color w:val="0000FF"/>
      <w:u w:val="single"/>
    </w:rPr>
  </w:style>
  <w:style w:type="paragraph" w:customStyle="1" w:styleId="Default">
    <w:name w:val="Default"/>
    <w:rsid w:val="001A5464"/>
    <w:pPr>
      <w:autoSpaceDE w:val="0"/>
      <w:autoSpaceDN w:val="0"/>
      <w:adjustRightInd w:val="0"/>
    </w:pPr>
    <w:rPr>
      <w:rFonts w:ascii="Arial" w:hAnsi="Arial" w:cs="Arial"/>
      <w:color w:val="000000"/>
      <w:sz w:val="24"/>
      <w:szCs w:val="24"/>
    </w:rPr>
  </w:style>
  <w:style w:type="paragraph" w:customStyle="1" w:styleId="Pa11">
    <w:name w:val="Pa11"/>
    <w:basedOn w:val="Default"/>
    <w:next w:val="Default"/>
    <w:rsid w:val="001A5464"/>
    <w:pPr>
      <w:spacing w:line="201" w:lineRule="atLeast"/>
    </w:pPr>
    <w:rPr>
      <w:rFonts w:cs="Times New Roman"/>
      <w:color w:val="auto"/>
    </w:rPr>
  </w:style>
  <w:style w:type="paragraph" w:customStyle="1" w:styleId="Pa6">
    <w:name w:val="Pa6"/>
    <w:basedOn w:val="Default"/>
    <w:next w:val="Default"/>
    <w:rsid w:val="001A5464"/>
    <w:pPr>
      <w:spacing w:line="201" w:lineRule="atLeast"/>
    </w:pPr>
    <w:rPr>
      <w:rFonts w:cs="Times New Roman"/>
      <w:color w:val="auto"/>
    </w:rPr>
  </w:style>
  <w:style w:type="paragraph" w:customStyle="1" w:styleId="Pa7">
    <w:name w:val="Pa7"/>
    <w:basedOn w:val="Default"/>
    <w:next w:val="Default"/>
    <w:rsid w:val="001A5464"/>
    <w:pPr>
      <w:spacing w:line="201" w:lineRule="atLeast"/>
    </w:pPr>
    <w:rPr>
      <w:rFonts w:cs="Times New Roman"/>
      <w:color w:val="auto"/>
    </w:rPr>
  </w:style>
  <w:style w:type="character" w:customStyle="1" w:styleId="EncabezadoCar">
    <w:name w:val="Encabezado Car"/>
    <w:link w:val="Encabezado"/>
    <w:uiPriority w:val="99"/>
    <w:rsid w:val="003D12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9470">
      <w:bodyDiv w:val="1"/>
      <w:marLeft w:val="0"/>
      <w:marRight w:val="0"/>
      <w:marTop w:val="0"/>
      <w:marBottom w:val="0"/>
      <w:divBdr>
        <w:top w:val="none" w:sz="0" w:space="0" w:color="auto"/>
        <w:left w:val="none" w:sz="0" w:space="0" w:color="auto"/>
        <w:bottom w:val="none" w:sz="0" w:space="0" w:color="auto"/>
        <w:right w:val="none" w:sz="0" w:space="0" w:color="auto"/>
      </w:divBdr>
    </w:div>
    <w:div w:id="154303330">
      <w:bodyDiv w:val="1"/>
      <w:marLeft w:val="0"/>
      <w:marRight w:val="0"/>
      <w:marTop w:val="0"/>
      <w:marBottom w:val="0"/>
      <w:divBdr>
        <w:top w:val="none" w:sz="0" w:space="0" w:color="auto"/>
        <w:left w:val="none" w:sz="0" w:space="0" w:color="auto"/>
        <w:bottom w:val="none" w:sz="0" w:space="0" w:color="auto"/>
        <w:right w:val="none" w:sz="0" w:space="0" w:color="auto"/>
      </w:divBdr>
    </w:div>
    <w:div w:id="572352749">
      <w:bodyDiv w:val="1"/>
      <w:marLeft w:val="0"/>
      <w:marRight w:val="0"/>
      <w:marTop w:val="0"/>
      <w:marBottom w:val="0"/>
      <w:divBdr>
        <w:top w:val="none" w:sz="0" w:space="0" w:color="auto"/>
        <w:left w:val="none" w:sz="0" w:space="0" w:color="auto"/>
        <w:bottom w:val="none" w:sz="0" w:space="0" w:color="auto"/>
        <w:right w:val="none" w:sz="0" w:space="0" w:color="auto"/>
      </w:divBdr>
    </w:div>
    <w:div w:id="709261187">
      <w:bodyDiv w:val="1"/>
      <w:marLeft w:val="0"/>
      <w:marRight w:val="0"/>
      <w:marTop w:val="0"/>
      <w:marBottom w:val="0"/>
      <w:divBdr>
        <w:top w:val="none" w:sz="0" w:space="0" w:color="auto"/>
        <w:left w:val="none" w:sz="0" w:space="0" w:color="auto"/>
        <w:bottom w:val="none" w:sz="0" w:space="0" w:color="auto"/>
        <w:right w:val="none" w:sz="0" w:space="0" w:color="auto"/>
      </w:divBdr>
    </w:div>
    <w:div w:id="1222670064">
      <w:bodyDiv w:val="1"/>
      <w:marLeft w:val="0"/>
      <w:marRight w:val="0"/>
      <w:marTop w:val="0"/>
      <w:marBottom w:val="0"/>
      <w:divBdr>
        <w:top w:val="none" w:sz="0" w:space="0" w:color="auto"/>
        <w:left w:val="none" w:sz="0" w:space="0" w:color="auto"/>
        <w:bottom w:val="none" w:sz="0" w:space="0" w:color="auto"/>
        <w:right w:val="none" w:sz="0" w:space="0" w:color="auto"/>
      </w:divBdr>
    </w:div>
    <w:div w:id="1539775856">
      <w:bodyDiv w:val="1"/>
      <w:marLeft w:val="0"/>
      <w:marRight w:val="0"/>
      <w:marTop w:val="0"/>
      <w:marBottom w:val="0"/>
      <w:divBdr>
        <w:top w:val="none" w:sz="0" w:space="0" w:color="auto"/>
        <w:left w:val="none" w:sz="0" w:space="0" w:color="auto"/>
        <w:bottom w:val="none" w:sz="0" w:space="0" w:color="auto"/>
        <w:right w:val="none" w:sz="0" w:space="0" w:color="auto"/>
      </w:divBdr>
    </w:div>
    <w:div w:id="1607615225">
      <w:bodyDiv w:val="1"/>
      <w:marLeft w:val="0"/>
      <w:marRight w:val="0"/>
      <w:marTop w:val="0"/>
      <w:marBottom w:val="0"/>
      <w:divBdr>
        <w:top w:val="none" w:sz="0" w:space="0" w:color="auto"/>
        <w:left w:val="none" w:sz="0" w:space="0" w:color="auto"/>
        <w:bottom w:val="none" w:sz="0" w:space="0" w:color="auto"/>
        <w:right w:val="none" w:sz="0" w:space="0" w:color="auto"/>
      </w:divBdr>
    </w:div>
    <w:div w:id="1881815951">
      <w:bodyDiv w:val="1"/>
      <w:marLeft w:val="0"/>
      <w:marRight w:val="0"/>
      <w:marTop w:val="0"/>
      <w:marBottom w:val="0"/>
      <w:divBdr>
        <w:top w:val="none" w:sz="0" w:space="0" w:color="auto"/>
        <w:left w:val="none" w:sz="0" w:space="0" w:color="auto"/>
        <w:bottom w:val="none" w:sz="0" w:space="0" w:color="auto"/>
        <w:right w:val="none" w:sz="0" w:space="0" w:color="auto"/>
      </w:divBdr>
    </w:div>
    <w:div w:id="1997340864">
      <w:bodyDiv w:val="1"/>
      <w:marLeft w:val="0"/>
      <w:marRight w:val="0"/>
      <w:marTop w:val="0"/>
      <w:marBottom w:val="0"/>
      <w:divBdr>
        <w:top w:val="none" w:sz="0" w:space="0" w:color="auto"/>
        <w:left w:val="none" w:sz="0" w:space="0" w:color="auto"/>
        <w:bottom w:val="none" w:sz="0" w:space="0" w:color="auto"/>
        <w:right w:val="none" w:sz="0" w:space="0" w:color="auto"/>
      </w:divBdr>
    </w:div>
    <w:div w:id="202967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1059</Words>
  <Characters>5829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……………………………………………con DNI …………………………</vt:lpstr>
    </vt:vector>
  </TitlesOfParts>
  <Company>Dark</Company>
  <LinksUpToDate>false</LinksUpToDate>
  <CharactersWithSpaces>6875</CharactersWithSpaces>
  <SharedDoc>false</SharedDoc>
  <HLinks>
    <vt:vector size="6" baseType="variant">
      <vt:variant>
        <vt:i4>655365</vt:i4>
      </vt:variant>
      <vt:variant>
        <vt:i4>0</vt:i4>
      </vt:variant>
      <vt:variant>
        <vt:i4>0</vt:i4>
      </vt:variant>
      <vt:variant>
        <vt:i4>5</vt:i4>
      </vt:variant>
      <vt:variant>
        <vt:lpwstr>http://www.carm.es/cagric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 DNI …………………………</dc:title>
  <dc:subject/>
  <dc:creator>Luis Arnao</dc:creator>
  <cp:keywords/>
  <cp:lastModifiedBy>FERNANDEZ SANCHEZ, FCO. JOSE</cp:lastModifiedBy>
  <cp:revision>6</cp:revision>
  <cp:lastPrinted>2016-01-08T06:46:00Z</cp:lastPrinted>
  <dcterms:created xsi:type="dcterms:W3CDTF">2019-10-10T21:15:00Z</dcterms:created>
  <dcterms:modified xsi:type="dcterms:W3CDTF">2019-12-04T17:04:00Z</dcterms:modified>
</cp:coreProperties>
</file>